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0C" w:rsidRDefault="0098570C">
      <w:pPr>
        <w:pStyle w:val="ConsPlusTitle"/>
        <w:jc w:val="center"/>
        <w:outlineLvl w:val="0"/>
      </w:pPr>
      <w:r>
        <w:t>АРХАНГЕЛЬСКАЯ ГОРОДСКАЯ ДУМА</w:t>
      </w:r>
    </w:p>
    <w:p w:rsidR="0098570C" w:rsidRDefault="0098570C">
      <w:pPr>
        <w:pStyle w:val="ConsPlusTitle"/>
        <w:jc w:val="center"/>
      </w:pPr>
      <w:r>
        <w:t>Сорок первая сессия двадцать шестого созыва</w:t>
      </w:r>
    </w:p>
    <w:p w:rsidR="0098570C" w:rsidRDefault="0098570C">
      <w:pPr>
        <w:pStyle w:val="ConsPlusTitle"/>
        <w:jc w:val="center"/>
      </w:pPr>
    </w:p>
    <w:p w:rsidR="0098570C" w:rsidRDefault="0098570C">
      <w:pPr>
        <w:pStyle w:val="ConsPlusTitle"/>
        <w:jc w:val="center"/>
      </w:pPr>
      <w:r>
        <w:t>РЕШЕНИЕ</w:t>
      </w:r>
    </w:p>
    <w:p w:rsidR="0098570C" w:rsidRDefault="0098570C">
      <w:pPr>
        <w:pStyle w:val="ConsPlusTitle"/>
        <w:jc w:val="center"/>
      </w:pPr>
      <w:r>
        <w:t>от 20 сентября 2017 г. N 567</w:t>
      </w:r>
    </w:p>
    <w:p w:rsidR="0098570C" w:rsidRDefault="0098570C">
      <w:pPr>
        <w:pStyle w:val="ConsPlusTitle"/>
        <w:jc w:val="center"/>
      </w:pPr>
    </w:p>
    <w:p w:rsidR="0098570C" w:rsidRDefault="0098570C">
      <w:pPr>
        <w:pStyle w:val="ConsPlusTitle"/>
        <w:jc w:val="center"/>
      </w:pPr>
      <w:r>
        <w:t xml:space="preserve">ОБ УТВЕРЖДЕНИИ МЕСТНЫХ НОРМАТИВОВ </w:t>
      </w:r>
      <w:proofErr w:type="gramStart"/>
      <w:r>
        <w:t>ГРАДОСТРОИТЕЛЬНОГО</w:t>
      </w:r>
      <w:proofErr w:type="gramEnd"/>
    </w:p>
    <w:p w:rsidR="0098570C" w:rsidRDefault="0098570C">
      <w:pPr>
        <w:pStyle w:val="ConsPlusTitle"/>
        <w:jc w:val="center"/>
      </w:pPr>
      <w:r>
        <w:t>ПРОЕКТИРОВАНИЯ ГОРОДСКОГО ОКРУГА "ГОРОД АРХАНГЕЛЬСК"</w:t>
      </w:r>
    </w:p>
    <w:p w:rsidR="0098570C" w:rsidRDefault="009857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57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70C" w:rsidRDefault="009857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570C" w:rsidRDefault="009857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городской Думы от 15.03.2023 N 649)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главой 3.1</w:t>
        </w:r>
      </w:hyperlink>
      <w:r>
        <w:t xml:space="preserve"> Градостроительного кодекса Российской Федерации, </w:t>
      </w:r>
      <w:hyperlink r:id="rId7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на основании Устава городского округа "Город Архангельск" Архангельская городская Дума решила:</w:t>
      </w:r>
    </w:p>
    <w:p w:rsidR="0098570C" w:rsidRDefault="0098570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решения</w:t>
        </w:r>
      </w:hyperlink>
      <w:r>
        <w:t xml:space="preserve"> Архангельской городской Думы от 15.03.2023 N 649)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Утвердить прилагаемые местные </w:t>
      </w:r>
      <w:hyperlink w:anchor="P34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городского округа "Город Архангельск".</w:t>
      </w:r>
    </w:p>
    <w:p w:rsidR="0098570C" w:rsidRDefault="0098570C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Архангельской городской Думы от 15.03.2023 N 649)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right"/>
      </w:pPr>
      <w:r>
        <w:t>Председатель городской Думы</w:t>
      </w:r>
    </w:p>
    <w:p w:rsidR="0098570C" w:rsidRDefault="0098570C">
      <w:pPr>
        <w:pStyle w:val="ConsPlusNormal"/>
        <w:jc w:val="right"/>
      </w:pPr>
      <w:bookmarkStart w:id="0" w:name="_GoBack"/>
      <w:bookmarkEnd w:id="0"/>
      <w:r>
        <w:t>В.В.СЫРОВА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right"/>
      </w:pPr>
      <w:r>
        <w:t>Глава муниципального образования</w:t>
      </w:r>
    </w:p>
    <w:p w:rsidR="0098570C" w:rsidRDefault="0098570C">
      <w:pPr>
        <w:pStyle w:val="ConsPlusNormal"/>
        <w:jc w:val="right"/>
      </w:pPr>
      <w:r>
        <w:t>"Город Архангельск"</w:t>
      </w:r>
    </w:p>
    <w:p w:rsidR="0098570C" w:rsidRDefault="0098570C">
      <w:pPr>
        <w:pStyle w:val="ConsPlusNormal"/>
        <w:jc w:val="right"/>
      </w:pPr>
      <w:r>
        <w:t>И.В.ГОДЗИШ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right"/>
        <w:outlineLvl w:val="0"/>
      </w:pPr>
      <w:r>
        <w:t>Приложение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right"/>
      </w:pPr>
      <w:r>
        <w:t>Утверждены</w:t>
      </w:r>
    </w:p>
    <w:p w:rsidR="0098570C" w:rsidRDefault="0098570C">
      <w:pPr>
        <w:pStyle w:val="ConsPlusNormal"/>
        <w:jc w:val="right"/>
      </w:pPr>
      <w:r>
        <w:t>решением Архангельской городской Думы</w:t>
      </w:r>
    </w:p>
    <w:p w:rsidR="0098570C" w:rsidRDefault="0098570C">
      <w:pPr>
        <w:pStyle w:val="ConsPlusNormal"/>
        <w:jc w:val="right"/>
      </w:pPr>
      <w:r>
        <w:t>от 20.09.2017 N 567</w:t>
      </w:r>
    </w:p>
    <w:p w:rsidR="0098570C" w:rsidRDefault="0098570C">
      <w:pPr>
        <w:pStyle w:val="ConsPlusNormal"/>
        <w:jc w:val="center"/>
      </w:pPr>
    </w:p>
    <w:p w:rsidR="0098570C" w:rsidRDefault="0098570C">
      <w:pPr>
        <w:pStyle w:val="ConsPlusTitle"/>
        <w:jc w:val="center"/>
      </w:pPr>
      <w:bookmarkStart w:id="1" w:name="P34"/>
      <w:bookmarkEnd w:id="1"/>
      <w:r>
        <w:t>МЕСТНЫЕ НОРМАТИВЫ</w:t>
      </w:r>
    </w:p>
    <w:p w:rsidR="0098570C" w:rsidRDefault="0098570C">
      <w:pPr>
        <w:pStyle w:val="ConsPlusTitle"/>
        <w:jc w:val="center"/>
      </w:pPr>
      <w:r>
        <w:t>ГРАДОСТРОИТЕЛЬНОГО ПРОЕКТИРОВАНИЯ</w:t>
      </w:r>
    </w:p>
    <w:p w:rsidR="0098570C" w:rsidRDefault="0098570C">
      <w:pPr>
        <w:pStyle w:val="ConsPlusTitle"/>
        <w:jc w:val="center"/>
      </w:pPr>
      <w:r>
        <w:t>ГОРОДСКОГО ОКРУГА "ГОРОД АРХАНГЕЛЬСК"</w:t>
      </w:r>
    </w:p>
    <w:p w:rsidR="0098570C" w:rsidRDefault="009857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57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570C" w:rsidRDefault="009857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570C" w:rsidRDefault="009857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Архангельской городской Думы от 15.03.2023 N 649)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70C" w:rsidRDefault="0098570C">
            <w:pPr>
              <w:pStyle w:val="ConsPlusNormal"/>
            </w:pP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1"/>
      </w:pPr>
      <w:r>
        <w:t>Раздел I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</w:pPr>
      <w:r>
        <w:t>ОСНОВНАЯ ЧАСТЬ. РАСЧЕТНЫЕ ПОКАЗАТЕЛИ. ПРАВИЛА И ОБЛАСТЬ</w:t>
      </w:r>
    </w:p>
    <w:p w:rsidR="0098570C" w:rsidRDefault="0098570C">
      <w:pPr>
        <w:pStyle w:val="ConsPlusTitle"/>
        <w:jc w:val="center"/>
      </w:pPr>
      <w:r>
        <w:t>ПРИМЕНЕНИЯ РАСЧЕТНЫХ ПОКАЗАТЕЛЕЙ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29.2</w:t>
        </w:r>
      </w:hyperlink>
      <w:r>
        <w:t xml:space="preserve"> Градостроительного кодекса Российской Федерации местные нормативы градостроительного проектирования городского округа "Город Архангельск" (далее - нормативы) содержат минимальные расчетные показатели допустимого уровня обеспеченности объектами местного значения городского округа "Город Архангельск" (в том числе объектами </w:t>
      </w:r>
      <w:r>
        <w:lastRenderedPageBreak/>
        <w:t>социального и коммунально-бытового назначения, объектами инженерной инфраструктуры, благоустройства территории) (далее - расчетные показатели).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Минимальные расчетные показатели применяются на всей территории городского округа "Город Архангельск".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 xml:space="preserve">Глава 1. ОБЩИЕ РАСЧЕТНЫЕ ПОКАЗАТЕЛИ </w:t>
      </w:r>
      <w:proofErr w:type="gramStart"/>
      <w:r>
        <w:t>ПЛАНИРОВОЧНОЙ</w:t>
      </w:r>
      <w:proofErr w:type="gramEnd"/>
    </w:p>
    <w:p w:rsidR="0098570C" w:rsidRDefault="0098570C">
      <w:pPr>
        <w:pStyle w:val="ConsPlusTitle"/>
        <w:jc w:val="center"/>
      </w:pPr>
      <w:r>
        <w:t>ОРГАНИЗАЦИИ ТЕРРИТОРИИ ГОРОДСКОГО ОКРУГА</w:t>
      </w:r>
    </w:p>
    <w:p w:rsidR="0098570C" w:rsidRDefault="0098570C">
      <w:pPr>
        <w:pStyle w:val="ConsPlusTitle"/>
        <w:jc w:val="center"/>
      </w:pPr>
      <w:r>
        <w:t>"ГОРОД АРХАНГЕЛЬСК"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1. Нормативы плотности населения территорий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показателей, приведенных в </w:t>
      </w:r>
      <w:hyperlink w:anchor="P56">
        <w:r>
          <w:rPr>
            <w:color w:val="0000FF"/>
          </w:rPr>
          <w:t>таблице 1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2" w:name="P56"/>
      <w:bookmarkEnd w:id="2"/>
      <w:r>
        <w:t>Таблица 1. Минимальная плотность населения на территории жилого района, микрорайона (чел./</w:t>
      </w:r>
      <w:proofErr w:type="gramStart"/>
      <w:r>
        <w:t>га</w:t>
      </w:r>
      <w:proofErr w:type="gramEnd"/>
      <w:r>
        <w:t>) по расчетным периодам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74"/>
        <w:gridCol w:w="1474"/>
        <w:gridCol w:w="1474"/>
        <w:gridCol w:w="1361"/>
      </w:tblGrid>
      <w:tr w:rsidR="0098570C">
        <w:tc>
          <w:tcPr>
            <w:tcW w:w="2694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Зона различной степени градостроительной ценности территории</w:t>
            </w:r>
          </w:p>
        </w:tc>
        <w:tc>
          <w:tcPr>
            <w:tcW w:w="5783" w:type="dxa"/>
            <w:gridSpan w:val="4"/>
          </w:tcPr>
          <w:p w:rsidR="0098570C" w:rsidRDefault="0098570C">
            <w:pPr>
              <w:pStyle w:val="ConsPlusNormal"/>
              <w:jc w:val="center"/>
            </w:pPr>
            <w:r>
              <w:t>Плотность населения на территории (чел./</w:t>
            </w:r>
            <w:proofErr w:type="gramStart"/>
            <w:r>
              <w:t>га</w:t>
            </w:r>
            <w:proofErr w:type="gramEnd"/>
            <w:r>
              <w:t>) при показателях жилищной обеспеченности (кв. м/чел.)</w:t>
            </w:r>
          </w:p>
        </w:tc>
      </w:tr>
      <w:tr w:rsidR="0098570C">
        <w:tc>
          <w:tcPr>
            <w:tcW w:w="2694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2948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жилого района</w:t>
            </w:r>
          </w:p>
        </w:tc>
        <w:tc>
          <w:tcPr>
            <w:tcW w:w="2835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микрорайона</w:t>
            </w:r>
          </w:p>
        </w:tc>
      </w:tr>
      <w:tr w:rsidR="0098570C">
        <w:tc>
          <w:tcPr>
            <w:tcW w:w="2694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361" w:type="dxa"/>
          </w:tcPr>
          <w:p w:rsidR="0098570C" w:rsidRDefault="0098570C">
            <w:pPr>
              <w:pStyle w:val="ConsPlusNormal"/>
              <w:jc w:val="center"/>
            </w:pPr>
            <w:r>
              <w:t>2025 г.</w:t>
            </w:r>
          </w:p>
        </w:tc>
      </w:tr>
      <w:tr w:rsidR="0098570C">
        <w:tc>
          <w:tcPr>
            <w:tcW w:w="2694" w:type="dxa"/>
          </w:tcPr>
          <w:p w:rsidR="0098570C" w:rsidRDefault="0098570C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361" w:type="dxa"/>
          </w:tcPr>
          <w:p w:rsidR="0098570C" w:rsidRDefault="0098570C">
            <w:pPr>
              <w:pStyle w:val="ConsPlusNormal"/>
              <w:jc w:val="center"/>
            </w:pPr>
            <w:r>
              <w:t>240</w:t>
            </w:r>
          </w:p>
        </w:tc>
      </w:tr>
      <w:tr w:rsidR="0098570C">
        <w:tc>
          <w:tcPr>
            <w:tcW w:w="2694" w:type="dxa"/>
          </w:tcPr>
          <w:p w:rsidR="0098570C" w:rsidRDefault="0098570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98570C" w:rsidRDefault="0098570C">
            <w:pPr>
              <w:pStyle w:val="ConsPlusNormal"/>
              <w:jc w:val="center"/>
            </w:pPr>
            <w:r>
              <w:t>210</w:t>
            </w:r>
          </w:p>
        </w:tc>
      </w:tr>
      <w:tr w:rsidR="0098570C">
        <w:tc>
          <w:tcPr>
            <w:tcW w:w="2694" w:type="dxa"/>
          </w:tcPr>
          <w:p w:rsidR="0098570C" w:rsidRDefault="0098570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74" w:type="dxa"/>
          </w:tcPr>
          <w:p w:rsidR="0098570C" w:rsidRDefault="0098570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361" w:type="dxa"/>
          </w:tcPr>
          <w:p w:rsidR="0098570C" w:rsidRDefault="0098570C">
            <w:pPr>
              <w:pStyle w:val="ConsPlusNormal"/>
              <w:jc w:val="center"/>
            </w:pPr>
            <w:r>
              <w:t>195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Примечание: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Зоны различной степени градостроительной ценности территории и их границы определяются с учетом кадастровой стоимости земельного участка, уровня обеспеченности инженерной и транспортной инфраструктурами, объектами обслуживания, капиталовложений в инженерную подготовку территории, наличия историко-культурных и архитектурно-ландшафтных ценностей.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2. Показатели в сфере жилищного обеспечения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2. Норматив жилищной обеспеченности (кв. м/чел.)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90"/>
        <w:gridCol w:w="3190"/>
      </w:tblGrid>
      <w:tr w:rsidR="0098570C">
        <w:tc>
          <w:tcPr>
            <w:tcW w:w="2665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380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Периоды</w:t>
            </w:r>
          </w:p>
        </w:tc>
      </w:tr>
      <w:tr w:rsidR="0098570C">
        <w:tc>
          <w:tcPr>
            <w:tcW w:w="266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90" w:type="dxa"/>
          </w:tcPr>
          <w:p w:rsidR="0098570C" w:rsidRDefault="0098570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3190" w:type="dxa"/>
          </w:tcPr>
          <w:p w:rsidR="0098570C" w:rsidRDefault="0098570C">
            <w:pPr>
              <w:pStyle w:val="ConsPlusNormal"/>
              <w:jc w:val="center"/>
            </w:pPr>
            <w:r>
              <w:t>2025 г.</w:t>
            </w:r>
          </w:p>
        </w:tc>
      </w:tr>
      <w:tr w:rsidR="0098570C">
        <w:tc>
          <w:tcPr>
            <w:tcW w:w="2665" w:type="dxa"/>
          </w:tcPr>
          <w:p w:rsidR="0098570C" w:rsidRDefault="0098570C">
            <w:pPr>
              <w:pStyle w:val="ConsPlusNormal"/>
              <w:jc w:val="center"/>
            </w:pPr>
            <w:r>
              <w:t>Жилищная обеспеченность (кв. м/чел.)</w:t>
            </w:r>
          </w:p>
        </w:tc>
        <w:tc>
          <w:tcPr>
            <w:tcW w:w="3190" w:type="dxa"/>
          </w:tcPr>
          <w:p w:rsidR="0098570C" w:rsidRDefault="0098570C">
            <w:pPr>
              <w:pStyle w:val="ConsPlusNormal"/>
              <w:jc w:val="center"/>
            </w:pPr>
            <w: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3190" w:type="dxa"/>
          </w:tcPr>
          <w:p w:rsidR="0098570C" w:rsidRDefault="0098570C">
            <w:pPr>
              <w:pStyle w:val="ConsPlusNormal"/>
              <w:jc w:val="center"/>
            </w:pPr>
            <w:r>
              <w:t>в соответствии с требованиями свода правил "Градостроительство.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 xml:space="preserve">Статья 3. Расчетные показатели в отношении структурной организации и плотности </w:t>
      </w:r>
      <w:r>
        <w:lastRenderedPageBreak/>
        <w:t>жилых кварталов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3. Коэффициент плотности застройки жилых зон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118"/>
      </w:tblGrid>
      <w:tr w:rsidR="0098570C">
        <w:tc>
          <w:tcPr>
            <w:tcW w:w="5726" w:type="dxa"/>
          </w:tcPr>
          <w:p w:rsidR="0098570C" w:rsidRDefault="0098570C">
            <w:pPr>
              <w:pStyle w:val="ConsPlusNormal"/>
              <w:jc w:val="center"/>
            </w:pPr>
            <w:r>
              <w:t>Вид жилищного фонда по наименованию функциональных зон</w:t>
            </w:r>
          </w:p>
        </w:tc>
        <w:tc>
          <w:tcPr>
            <w:tcW w:w="3118" w:type="dxa"/>
          </w:tcPr>
          <w:p w:rsidR="0098570C" w:rsidRDefault="0098570C">
            <w:pPr>
              <w:pStyle w:val="ConsPlusNormal"/>
              <w:jc w:val="center"/>
            </w:pPr>
            <w:r>
              <w:t>Коэффициент плотности застройки</w:t>
            </w:r>
          </w:p>
        </w:tc>
      </w:tr>
      <w:tr w:rsidR="0098570C">
        <w:tc>
          <w:tcPr>
            <w:tcW w:w="5726" w:type="dxa"/>
          </w:tcPr>
          <w:p w:rsidR="0098570C" w:rsidRDefault="0098570C">
            <w:pPr>
              <w:pStyle w:val="ConsPlusNormal"/>
              <w:jc w:val="center"/>
            </w:pPr>
            <w:r>
              <w:t>многоэтажная</w:t>
            </w:r>
          </w:p>
        </w:tc>
        <w:tc>
          <w:tcPr>
            <w:tcW w:w="3118" w:type="dxa"/>
          </w:tcPr>
          <w:p w:rsidR="0098570C" w:rsidRDefault="0098570C">
            <w:pPr>
              <w:pStyle w:val="ConsPlusNormal"/>
              <w:jc w:val="center"/>
            </w:pPr>
            <w:r>
              <w:t>2</w:t>
            </w:r>
          </w:p>
        </w:tc>
      </w:tr>
      <w:tr w:rsidR="0098570C">
        <w:tc>
          <w:tcPr>
            <w:tcW w:w="5726" w:type="dxa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среднеэтажная</w:t>
            </w:r>
            <w:proofErr w:type="spellEnd"/>
          </w:p>
        </w:tc>
        <w:tc>
          <w:tcPr>
            <w:tcW w:w="3118" w:type="dxa"/>
          </w:tcPr>
          <w:p w:rsidR="0098570C" w:rsidRDefault="0098570C">
            <w:pPr>
              <w:pStyle w:val="ConsPlusNormal"/>
              <w:jc w:val="center"/>
            </w:pPr>
            <w:r>
              <w:t>1,7</w:t>
            </w:r>
          </w:p>
        </w:tc>
      </w:tr>
      <w:tr w:rsidR="0098570C">
        <w:tc>
          <w:tcPr>
            <w:tcW w:w="5726" w:type="dxa"/>
          </w:tcPr>
          <w:p w:rsidR="0098570C" w:rsidRDefault="0098570C">
            <w:pPr>
              <w:pStyle w:val="ConsPlusNormal"/>
              <w:jc w:val="center"/>
            </w:pPr>
            <w:r>
              <w:t>малоэтажная</w:t>
            </w:r>
          </w:p>
        </w:tc>
        <w:tc>
          <w:tcPr>
            <w:tcW w:w="3118" w:type="dxa"/>
          </w:tcPr>
          <w:p w:rsidR="0098570C" w:rsidRDefault="0098570C">
            <w:pPr>
              <w:pStyle w:val="ConsPlusNormal"/>
              <w:jc w:val="center"/>
            </w:pPr>
            <w:r>
              <w:t>1,2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 xml:space="preserve">Глава 2. РАСЧЕТНЫЕ ПОКАЗАТЕЛИ В СФЕРЕ </w:t>
      </w:r>
      <w:proofErr w:type="gramStart"/>
      <w:r>
        <w:t>СОЦИАЛЬНОГО</w:t>
      </w:r>
      <w:proofErr w:type="gramEnd"/>
    </w:p>
    <w:p w:rsidR="0098570C" w:rsidRDefault="0098570C">
      <w:pPr>
        <w:pStyle w:val="ConsPlusTitle"/>
        <w:jc w:val="center"/>
      </w:pPr>
      <w:r>
        <w:t>И КУЛЬТУРНО-БЫТОВОГО ОБЕСПЕЧЕНИЯ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4. Расчетные показатели обеспеченности образовательными учреждениями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4. Нормы расчета образовательных учреждений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sectPr w:rsidR="0098570C" w:rsidSect="00985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46"/>
        <w:gridCol w:w="2014"/>
        <w:gridCol w:w="2835"/>
      </w:tblGrid>
      <w:tr w:rsidR="0098570C">
        <w:tc>
          <w:tcPr>
            <w:tcW w:w="2127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Объекты</w:t>
            </w:r>
          </w:p>
        </w:tc>
        <w:tc>
          <w:tcPr>
            <w:tcW w:w="1559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6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014" w:type="dxa"/>
          </w:tcPr>
          <w:p w:rsidR="0098570C" w:rsidRDefault="0098570C">
            <w:pPr>
              <w:pStyle w:val="ConsPlusNormal"/>
              <w:jc w:val="center"/>
            </w:pPr>
            <w:r>
              <w:t>Размер земельного участка</w:t>
            </w:r>
          </w:p>
          <w:p w:rsidR="0098570C" w:rsidRDefault="0098570C">
            <w:pPr>
              <w:pStyle w:val="ConsPlusNormal"/>
              <w:jc w:val="center"/>
            </w:pPr>
            <w:r>
              <w:t>(кв. м/единица измерения)</w:t>
            </w:r>
          </w:p>
        </w:tc>
        <w:tc>
          <w:tcPr>
            <w:tcW w:w="2835" w:type="dxa"/>
          </w:tcPr>
          <w:p w:rsidR="0098570C" w:rsidRDefault="0098570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8570C">
        <w:tc>
          <w:tcPr>
            <w:tcW w:w="2127" w:type="dxa"/>
          </w:tcPr>
          <w:p w:rsidR="0098570C" w:rsidRDefault="0098570C">
            <w:pPr>
              <w:pStyle w:val="ConsPlusNormal"/>
              <w:jc w:val="center"/>
            </w:pPr>
            <w:r>
              <w:t>Общеобразовательные школы</w:t>
            </w:r>
          </w:p>
        </w:tc>
        <w:tc>
          <w:tcPr>
            <w:tcW w:w="1559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мест </w:t>
            </w:r>
            <w:proofErr w:type="gramStart"/>
            <w:r>
              <w:t>на</w:t>
            </w:r>
            <w:proofErr w:type="gramEnd"/>
          </w:p>
          <w:p w:rsidR="0098570C" w:rsidRDefault="0098570C">
            <w:pPr>
              <w:pStyle w:val="ConsPlusNormal"/>
              <w:jc w:val="center"/>
            </w:pPr>
            <w:r>
              <w:t>1 тыс. чел.</w:t>
            </w:r>
          </w:p>
        </w:tc>
        <w:tc>
          <w:tcPr>
            <w:tcW w:w="1246" w:type="dxa"/>
          </w:tcPr>
          <w:p w:rsidR="0098570C" w:rsidRDefault="0098570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14" w:type="dxa"/>
          </w:tcPr>
          <w:p w:rsidR="0098570C" w:rsidRDefault="0098570C">
            <w:pPr>
              <w:pStyle w:val="ConsPlusNormal"/>
            </w:pPr>
            <w:r>
              <w:t>при вместимости учреждения:</w:t>
            </w:r>
          </w:p>
          <w:p w:rsidR="0098570C" w:rsidRDefault="0098570C">
            <w:pPr>
              <w:pStyle w:val="ConsPlusNormal"/>
            </w:pPr>
            <w:r>
              <w:t>- до 400 - 50 кв. м на 1 учащегося;</w:t>
            </w:r>
          </w:p>
          <w:p w:rsidR="0098570C" w:rsidRDefault="0098570C">
            <w:pPr>
              <w:pStyle w:val="ConsPlusNormal"/>
            </w:pPr>
            <w:r>
              <w:t>- от 400 до 500 - 60 кв. м на</w:t>
            </w:r>
          </w:p>
          <w:p w:rsidR="0098570C" w:rsidRDefault="0098570C">
            <w:pPr>
              <w:pStyle w:val="ConsPlusNormal"/>
            </w:pPr>
            <w:r>
              <w:t>1 учащегося;</w:t>
            </w:r>
          </w:p>
          <w:p w:rsidR="0098570C" w:rsidRDefault="0098570C">
            <w:pPr>
              <w:pStyle w:val="ConsPlusNormal"/>
            </w:pPr>
            <w:r>
              <w:t>- от 500 до 600 - 50 кв. м на</w:t>
            </w:r>
          </w:p>
          <w:p w:rsidR="0098570C" w:rsidRDefault="0098570C">
            <w:pPr>
              <w:pStyle w:val="ConsPlusNormal"/>
            </w:pPr>
            <w:r>
              <w:t>1 учащегося;</w:t>
            </w:r>
          </w:p>
          <w:p w:rsidR="0098570C" w:rsidRDefault="0098570C">
            <w:pPr>
              <w:pStyle w:val="ConsPlusNormal"/>
            </w:pPr>
            <w:r>
              <w:t>- от 600 до 800 - 40 кв. м на</w:t>
            </w:r>
          </w:p>
          <w:p w:rsidR="0098570C" w:rsidRDefault="0098570C">
            <w:pPr>
              <w:pStyle w:val="ConsPlusNormal"/>
            </w:pPr>
            <w:r>
              <w:t>1 учащегося;</w:t>
            </w:r>
          </w:p>
          <w:p w:rsidR="0098570C" w:rsidRDefault="0098570C">
            <w:pPr>
              <w:pStyle w:val="ConsPlusNormal"/>
            </w:pPr>
            <w:r>
              <w:t>- от 800 до 1100 - 33 кв. м на</w:t>
            </w:r>
          </w:p>
          <w:p w:rsidR="0098570C" w:rsidRDefault="0098570C">
            <w:pPr>
              <w:pStyle w:val="ConsPlusNormal"/>
            </w:pPr>
            <w:r>
              <w:t>1 учащегося</w:t>
            </w:r>
          </w:p>
        </w:tc>
        <w:tc>
          <w:tcPr>
            <w:tcW w:w="2835" w:type="dxa"/>
          </w:tcPr>
          <w:p w:rsidR="0098570C" w:rsidRDefault="0098570C">
            <w:pPr>
              <w:pStyle w:val="ConsPlusNormal"/>
            </w:pPr>
            <w:r>
              <w:t>нормируемый радиус обслуживания:</w:t>
            </w:r>
          </w:p>
          <w:p w:rsidR="0098570C" w:rsidRDefault="0098570C">
            <w:pPr>
              <w:pStyle w:val="ConsPlusNormal"/>
            </w:pPr>
            <w:r>
              <w:t>- 500 м;</w:t>
            </w:r>
          </w:p>
          <w:p w:rsidR="0098570C" w:rsidRDefault="0098570C">
            <w:pPr>
              <w:pStyle w:val="ConsPlusNormal"/>
            </w:pPr>
            <w:r>
              <w:t>- 800 м в условиях стесненной городской застройки и труднодоступной местности.</w:t>
            </w:r>
          </w:p>
          <w:p w:rsidR="0098570C" w:rsidRDefault="0098570C">
            <w:pPr>
              <w:pStyle w:val="ConsPlusNormal"/>
            </w:pPr>
            <w: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</w:t>
            </w:r>
          </w:p>
        </w:tc>
      </w:tr>
      <w:tr w:rsidR="0098570C">
        <w:tc>
          <w:tcPr>
            <w:tcW w:w="2127" w:type="dxa"/>
          </w:tcPr>
          <w:p w:rsidR="0098570C" w:rsidRDefault="0098570C">
            <w:pPr>
              <w:pStyle w:val="ConsPlusNormal"/>
              <w:jc w:val="center"/>
            </w:pPr>
            <w:r>
              <w:t>Дошкольные образовательные учреждения</w:t>
            </w:r>
          </w:p>
        </w:tc>
        <w:tc>
          <w:tcPr>
            <w:tcW w:w="1559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мест </w:t>
            </w:r>
            <w:proofErr w:type="gramStart"/>
            <w:r>
              <w:t>на</w:t>
            </w:r>
            <w:proofErr w:type="gramEnd"/>
          </w:p>
          <w:p w:rsidR="0098570C" w:rsidRDefault="0098570C">
            <w:pPr>
              <w:pStyle w:val="ConsPlusNormal"/>
              <w:jc w:val="center"/>
            </w:pPr>
            <w:r>
              <w:t>1 тыс. чел.</w:t>
            </w:r>
          </w:p>
        </w:tc>
        <w:tc>
          <w:tcPr>
            <w:tcW w:w="1246" w:type="dxa"/>
          </w:tcPr>
          <w:p w:rsidR="0098570C" w:rsidRDefault="0098570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4" w:type="dxa"/>
          </w:tcPr>
          <w:p w:rsidR="0098570C" w:rsidRDefault="0098570C">
            <w:pPr>
              <w:pStyle w:val="ConsPlusNormal"/>
            </w:pPr>
            <w:r>
              <w:t>при вместимости учреждения:</w:t>
            </w:r>
          </w:p>
          <w:p w:rsidR="0098570C" w:rsidRDefault="0098570C">
            <w:pPr>
              <w:pStyle w:val="ConsPlusNormal"/>
            </w:pPr>
            <w:r>
              <w:t>до 100 мест -</w:t>
            </w:r>
          </w:p>
          <w:p w:rsidR="0098570C" w:rsidRDefault="0098570C">
            <w:pPr>
              <w:pStyle w:val="ConsPlusNormal"/>
            </w:pPr>
            <w:r>
              <w:lastRenderedPageBreak/>
              <w:t>40 кв. м на</w:t>
            </w:r>
          </w:p>
          <w:p w:rsidR="0098570C" w:rsidRDefault="0098570C">
            <w:pPr>
              <w:pStyle w:val="ConsPlusNormal"/>
            </w:pPr>
            <w:r>
              <w:t>1 место;</w:t>
            </w:r>
          </w:p>
          <w:p w:rsidR="0098570C" w:rsidRDefault="0098570C">
            <w:pPr>
              <w:pStyle w:val="ConsPlusNormal"/>
            </w:pPr>
            <w:r>
              <w:t>свыше 100 - 35;</w:t>
            </w:r>
          </w:p>
          <w:p w:rsidR="0098570C" w:rsidRDefault="0098570C">
            <w:pPr>
              <w:pStyle w:val="ConsPlusNormal"/>
            </w:pPr>
            <w:r>
              <w:t>в комплексе яслей-садов свыше 500 мест - 30</w:t>
            </w:r>
          </w:p>
        </w:tc>
        <w:tc>
          <w:tcPr>
            <w:tcW w:w="2835" w:type="dxa"/>
          </w:tcPr>
          <w:p w:rsidR="0098570C" w:rsidRDefault="0098570C">
            <w:pPr>
              <w:pStyle w:val="ConsPlusNormal"/>
            </w:pPr>
            <w:r>
              <w:lastRenderedPageBreak/>
              <w:t>нормируемый радиус обслуживания:</w:t>
            </w:r>
          </w:p>
          <w:p w:rsidR="0098570C" w:rsidRDefault="0098570C">
            <w:pPr>
              <w:pStyle w:val="ConsPlusNormal"/>
            </w:pPr>
            <w:r>
              <w:t>- 500 м;</w:t>
            </w:r>
          </w:p>
          <w:p w:rsidR="0098570C" w:rsidRDefault="0098570C">
            <w:pPr>
              <w:pStyle w:val="ConsPlusNormal"/>
            </w:pPr>
            <w:r>
              <w:lastRenderedPageBreak/>
              <w:t>- 800 м в условиях стесненной городской застройки и труднодоступной местности.</w:t>
            </w:r>
          </w:p>
          <w:p w:rsidR="0098570C" w:rsidRDefault="0098570C">
            <w:pPr>
              <w:pStyle w:val="ConsPlusNormal"/>
            </w:pPr>
            <w: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</w:t>
            </w:r>
          </w:p>
        </w:tc>
      </w:tr>
    </w:tbl>
    <w:p w:rsidR="0098570C" w:rsidRDefault="0098570C">
      <w:pPr>
        <w:pStyle w:val="ConsPlusNormal"/>
        <w:sectPr w:rsidR="009857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Примечания: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1. Размеры земельных участков образовательных учреждений в условиях реконструкции могут быть уменьшены на 20%.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Площадь </w:t>
      </w:r>
      <w:proofErr w:type="gramStart"/>
      <w:r>
        <w:t>групповой</w:t>
      </w:r>
      <w:proofErr w:type="gramEnd"/>
      <w:r>
        <w:t xml:space="preserve"> для детей ясельного возраста следует принимать 7,5 кв. м на 1 место.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Площадь теневого навеса на 1 ребенка - 1,6 кв. м /</w:t>
      </w:r>
      <w:proofErr w:type="spellStart"/>
      <w:r>
        <w:t>реб</w:t>
      </w:r>
      <w:proofErr w:type="spellEnd"/>
      <w:r>
        <w:t>., но не менее 30 кв. м на группу детей.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5. Расчетные показатели обеспеченности объектами физической культуры и спорта местного 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5. Нормативы обеспеченности объектами физической культуры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288"/>
        <w:gridCol w:w="1701"/>
      </w:tblGrid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 в расчете на 1 тыс. чел.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Стадионы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мест на трибунах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45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Спортзалы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кв. м площади пола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350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Бассейны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кв. м зеркала воды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75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6. Расчетные показатели обеспеченности объектами культуры и социального обеспечения местного 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6. Нормативы обеспеченности объектами культуры и социального обеспечения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288"/>
        <w:gridCol w:w="1701"/>
      </w:tblGrid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 в расчете на 1 тыс. чел.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Учреждения клубного типа, дома культуры и прочие развлекательные учреждения, кинотеатры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37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Театры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5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Концертные залы, филармонии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3,5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Музеи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по заданию на проектирование</w:t>
            </w:r>
          </w:p>
        </w:tc>
      </w:tr>
      <w:tr w:rsidR="0098570C">
        <w:tc>
          <w:tcPr>
            <w:tcW w:w="3686" w:type="dxa"/>
          </w:tcPr>
          <w:p w:rsidR="0098570C" w:rsidRDefault="0098570C">
            <w:pPr>
              <w:pStyle w:val="ConsPlusNormal"/>
              <w:jc w:val="center"/>
            </w:pPr>
            <w:r>
              <w:t>Библиотеки</w:t>
            </w:r>
          </w:p>
        </w:tc>
        <w:tc>
          <w:tcPr>
            <w:tcW w:w="3288" w:type="dxa"/>
          </w:tcPr>
          <w:p w:rsidR="0098570C" w:rsidRDefault="0098570C">
            <w:pPr>
              <w:pStyle w:val="ConsPlusNormal"/>
              <w:jc w:val="center"/>
            </w:pPr>
            <w:r>
              <w:t>тыс. томов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4,2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7. Расчетные показатели обеспеченности объектами торговли и общественного питания местного 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7. Нормативы обеспеченности объектами торговли и общественного питания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977"/>
        <w:gridCol w:w="1701"/>
      </w:tblGrid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 в расчете на 1 тыс. чел.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Предприятия торговли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кв. м торговой площади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280</w:t>
            </w:r>
          </w:p>
        </w:tc>
      </w:tr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Предприятия общественного питания (рестораны, кафе, столовые)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посадочных 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8. Расчетные показатели обеспеченности объектами социального и коммунально-бытового обеспечения местного 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8. Нормативы обеспеченности объектами социального и коммунально-бытового обеспечения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977"/>
        <w:gridCol w:w="1701"/>
      </w:tblGrid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 в расчете на 1 тыс. чел.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Предприятия бытового обслуживания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рабочих 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9</w:t>
            </w:r>
          </w:p>
        </w:tc>
      </w:tr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Бани, сауны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8</w:t>
            </w:r>
          </w:p>
        </w:tc>
      </w:tr>
      <w:tr w:rsidR="0098570C">
        <w:tc>
          <w:tcPr>
            <w:tcW w:w="4365" w:type="dxa"/>
          </w:tcPr>
          <w:p w:rsidR="0098570C" w:rsidRDefault="0098570C">
            <w:pPr>
              <w:pStyle w:val="ConsPlusNormal"/>
              <w:jc w:val="center"/>
            </w:pPr>
            <w:r>
              <w:t>Гостиницы</w:t>
            </w:r>
          </w:p>
        </w:tc>
        <w:tc>
          <w:tcPr>
            <w:tcW w:w="2977" w:type="dxa"/>
          </w:tcPr>
          <w:p w:rsidR="0098570C" w:rsidRDefault="0098570C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1701" w:type="dxa"/>
          </w:tcPr>
          <w:p w:rsidR="0098570C" w:rsidRDefault="0098570C">
            <w:pPr>
              <w:pStyle w:val="ConsPlusNormal"/>
              <w:jc w:val="center"/>
            </w:pPr>
            <w:r>
              <w:t>6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Примечание: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Учреждения и предприятия социально 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повседневного посещения - не более 30 мин.;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периодического - не более 1 ч.;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эпизодического - не более 2 ч.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 xml:space="preserve">Глава 3. РАСЧЕТНЫЕ ПОКАЗАТЕЛИ </w:t>
      </w:r>
      <w:proofErr w:type="gramStart"/>
      <w:r>
        <w:t>ОЗЕЛЕНЕННЫХ</w:t>
      </w:r>
      <w:proofErr w:type="gramEnd"/>
    </w:p>
    <w:p w:rsidR="0098570C" w:rsidRDefault="0098570C">
      <w:pPr>
        <w:pStyle w:val="ConsPlusTitle"/>
        <w:jc w:val="center"/>
      </w:pPr>
      <w:r>
        <w:t>ТЕРРИТОРИЙ И ЗЕЛЕНЫХ ЗОН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9. Расчетные показатели минимально допустимой площади озелененных территорий общего пользования в границах городского округа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Расчетные показатели минимально допустимой площади озелененных территорий общего пользования устанавливаются региональными нормативами градостроительного проектирования Архангельской области.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4. РАСЧЕТНЫЕ ПОКАЗАТЕЛИ ОБЕСПЕЧЕННОСТИ ОБЪЕКТАМИ</w:t>
      </w:r>
    </w:p>
    <w:p w:rsidR="0098570C" w:rsidRDefault="0098570C">
      <w:pPr>
        <w:pStyle w:val="ConsPlusTitle"/>
        <w:jc w:val="center"/>
      </w:pPr>
      <w:r>
        <w:t xml:space="preserve">ТРАНСПОРТНОЙ ИНФРАСТРУКТУРЫ, СИСТЕМАМИ </w:t>
      </w:r>
      <w:proofErr w:type="gramStart"/>
      <w:r>
        <w:t>ПАССАЖИРСКОГО</w:t>
      </w:r>
      <w:proofErr w:type="gramEnd"/>
    </w:p>
    <w:p w:rsidR="0098570C" w:rsidRDefault="0098570C">
      <w:pPr>
        <w:pStyle w:val="ConsPlusTitle"/>
        <w:jc w:val="center"/>
      </w:pPr>
      <w:r>
        <w:t>ОБЩЕСТВЕННОГО ТРАНСПОРТА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10. Объекты транспортной инфраструктуры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9. Классификация и основное назначение улиц и дорог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sectPr w:rsidR="009857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098"/>
        <w:gridCol w:w="2551"/>
        <w:gridCol w:w="850"/>
        <w:gridCol w:w="709"/>
        <w:gridCol w:w="1191"/>
        <w:gridCol w:w="1020"/>
        <w:gridCol w:w="851"/>
        <w:gridCol w:w="1077"/>
      </w:tblGrid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Категория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  <w:jc w:val="center"/>
            </w:pPr>
            <w:r>
              <w:t>Основное назначение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Расчетная скорость движения (</w:t>
            </w:r>
            <w:proofErr w:type="gramStart"/>
            <w:r>
              <w:t>км</w:t>
            </w:r>
            <w:proofErr w:type="gramEnd"/>
            <w:r>
              <w:t>/ч)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Ширина полосы движения (м)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Наименьший радиус кривых в плане (м)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Наибольший продольный уклон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Ширина улиц и дорог в красных линиях (м)</w:t>
            </w: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>Магистральные дороги регулируемого движения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Транспортная связь между районами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дорогами, как правило, в одном уровне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2 - 6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70 - 100</w:t>
            </w: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>Магистральные улицы общегородского значения регулируемого движения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Транспортная связь между жилыми, промышленными районами и центром города, планировочными районами, выходы на 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40 - 100</w:t>
            </w: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lastRenderedPageBreak/>
              <w:t>Магистральные улицы районного значения транспортно-пешеходные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40 - 100</w:t>
            </w: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 xml:space="preserve">Магистральные улицы районного значения </w:t>
            </w:r>
            <w:proofErr w:type="spellStart"/>
            <w:r>
              <w:t>пешеходно</w:t>
            </w:r>
            <w:proofErr w:type="spellEnd"/>
            <w:r>
              <w:t>-транспортные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40 - 100</w:t>
            </w:r>
          </w:p>
        </w:tc>
      </w:tr>
      <w:tr w:rsidR="0098570C">
        <w:tc>
          <w:tcPr>
            <w:tcW w:w="1191" w:type="dxa"/>
            <w:vMerge w:val="restart"/>
          </w:tcPr>
          <w:p w:rsidR="0098570C" w:rsidRDefault="0098570C">
            <w:pPr>
              <w:pStyle w:val="ConsPlusNormal"/>
            </w:pPr>
            <w:r>
              <w:t>Улицы и дороги местного значения</w:t>
            </w:r>
          </w:p>
        </w:tc>
        <w:tc>
          <w:tcPr>
            <w:tcW w:w="2098" w:type="dxa"/>
          </w:tcPr>
          <w:p w:rsidR="0098570C" w:rsidRDefault="0098570C">
            <w:pPr>
              <w:pStyle w:val="ConsPlusNormal"/>
            </w:pPr>
            <w:r>
              <w:t>Улицы в жилой застройке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15 -25</w:t>
            </w:r>
          </w:p>
        </w:tc>
      </w:tr>
      <w:tr w:rsidR="0098570C">
        <w:tc>
          <w:tcPr>
            <w:tcW w:w="1191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2098" w:type="dxa"/>
          </w:tcPr>
          <w:p w:rsidR="0098570C" w:rsidRDefault="0098570C">
            <w:pPr>
              <w:pStyle w:val="ConsPlusNormal"/>
            </w:pPr>
            <w:r>
              <w:t>Улицы и дороги в научно-производственных, промышленных и коммунально-</w:t>
            </w:r>
            <w:r>
              <w:lastRenderedPageBreak/>
              <w:t>складских зонах (районах)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lastRenderedPageBreak/>
              <w:t xml:space="preserve">Транспортная связь преимущественно легкового и грузового транспорта в пределах зон (районов), выходы на </w:t>
            </w:r>
            <w:r>
              <w:lastRenderedPageBreak/>
              <w:t>магистральные городские дороги. Пересечения с улицами и дорогами устраиваются в одном уровне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  <w:jc w:val="center"/>
            </w:pPr>
            <w:r>
              <w:t>15 - 25</w:t>
            </w:r>
          </w:p>
        </w:tc>
      </w:tr>
      <w:tr w:rsidR="0098570C">
        <w:tc>
          <w:tcPr>
            <w:tcW w:w="1191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2098" w:type="dxa"/>
          </w:tcPr>
          <w:p w:rsidR="0098570C" w:rsidRDefault="0098570C">
            <w:pPr>
              <w:pStyle w:val="ConsPlusNormal"/>
            </w:pPr>
            <w:r>
              <w:t>Парковые дороги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>Проезды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Подъезд транспортных сре</w:t>
            </w:r>
            <w:proofErr w:type="gramStart"/>
            <w:r>
              <w:t>дств к ж</w:t>
            </w:r>
            <w:proofErr w:type="gramEnd"/>
            <w: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3,0 - 5,5 &lt;1&gt;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>Пешеходные улицы и дороги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289" w:type="dxa"/>
            <w:gridSpan w:val="2"/>
          </w:tcPr>
          <w:p w:rsidR="0098570C" w:rsidRDefault="0098570C">
            <w:pPr>
              <w:pStyle w:val="ConsPlusNormal"/>
            </w:pPr>
            <w:r>
              <w:t>Велосипедные дорожки</w:t>
            </w:r>
          </w:p>
        </w:tc>
        <w:tc>
          <w:tcPr>
            <w:tcW w:w="2551" w:type="dxa"/>
          </w:tcPr>
          <w:p w:rsidR="0098570C" w:rsidRDefault="0098570C">
            <w:pPr>
              <w:pStyle w:val="ConsPlusNormal"/>
            </w:pPr>
            <w:r>
              <w:t xml:space="preserve">Проезд на велосипедах </w:t>
            </w:r>
            <w:r>
              <w:lastRenderedPageBreak/>
              <w:t>по свободным от других видов транспортного движения трассам к местам отдыха, общественным центрам</w:t>
            </w:r>
          </w:p>
        </w:tc>
        <w:tc>
          <w:tcPr>
            <w:tcW w:w="850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</w:tcPr>
          <w:p w:rsidR="0098570C" w:rsidRDefault="0098570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1" w:type="dxa"/>
          </w:tcPr>
          <w:p w:rsidR="0098570C" w:rsidRDefault="0098570C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020" w:type="dxa"/>
          </w:tcPr>
          <w:p w:rsidR="0098570C" w:rsidRDefault="009857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98570C" w:rsidRDefault="0098570C">
            <w:pPr>
              <w:pStyle w:val="ConsPlusNormal"/>
            </w:pPr>
          </w:p>
        </w:tc>
      </w:tr>
    </w:tbl>
    <w:p w:rsidR="0098570C" w:rsidRDefault="0098570C">
      <w:pPr>
        <w:pStyle w:val="ConsPlusNormal"/>
        <w:sectPr w:rsidR="009857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Примечания: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1. Большее значение ширины полосы движения принимать при однополосном проезде.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 транспортном потоке более 20% - до 4,5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Вдоль проездов должны предусматриваться места для временного складирования снега, счищаемого с проездов, в виде полос с твердым покрытием шириной не менее 1,5 м; магистральных улиц - 3 м.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11. Системы пассажирского общественного транспорта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10. Расчетные показатели систем пассажирского общественного транспорта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145"/>
        <w:gridCol w:w="1674"/>
      </w:tblGrid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Максимальное расстояние между остановочными пунктами на линиях общественного пассажирского транспорта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400</w:t>
            </w:r>
          </w:p>
        </w:tc>
      </w:tr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Ширина крайней полосы для движения автобусов на магистральных улицах и дорогах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4</w:t>
            </w:r>
          </w:p>
        </w:tc>
      </w:tr>
      <w:tr w:rsidR="0098570C">
        <w:tc>
          <w:tcPr>
            <w:tcW w:w="4195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Размещение остановочных площадок автобусов</w:t>
            </w: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за перекрестками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не менее 25 м до </w:t>
            </w:r>
            <w:proofErr w:type="gramStart"/>
            <w:r>
              <w:t>стоп-линии</w:t>
            </w:r>
            <w:proofErr w:type="gramEnd"/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перед перекрестками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не менее 40 м до </w:t>
            </w:r>
            <w:proofErr w:type="gramStart"/>
            <w:r>
              <w:t>стоп-линии</w:t>
            </w:r>
            <w:proofErr w:type="gramEnd"/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за наземными пешеходными переходами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не менее 5 м</w:t>
            </w:r>
          </w:p>
        </w:tc>
      </w:tr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Длина остановочной площадки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20 м на один автобус, но не более 60 м</w:t>
            </w:r>
          </w:p>
        </w:tc>
      </w:tr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Ширина остановочной площадки в заездном кармане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равна</w:t>
            </w:r>
            <w:proofErr w:type="gramEnd"/>
            <w:r>
              <w:t xml:space="preserve"> ширине основных полос проезжей части</w:t>
            </w:r>
          </w:p>
        </w:tc>
      </w:tr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Ширина </w:t>
            </w:r>
            <w:proofErr w:type="spellStart"/>
            <w:r>
              <w:t>отстойно</w:t>
            </w:r>
            <w:proofErr w:type="spellEnd"/>
            <w:r>
              <w:t>-разворотной площадки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98570C"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Расстояние от </w:t>
            </w:r>
            <w:proofErr w:type="spellStart"/>
            <w:r>
              <w:t>отстойно</w:t>
            </w:r>
            <w:proofErr w:type="spellEnd"/>
            <w:r>
              <w:t>-разворотной площадки до жилой застройки (м)</w:t>
            </w:r>
          </w:p>
        </w:tc>
        <w:tc>
          <w:tcPr>
            <w:tcW w:w="481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98570C">
        <w:tc>
          <w:tcPr>
            <w:tcW w:w="4195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Площадь земельных участков для размещения автобусных парков (гаражей) в зависимости от вместимости сооружений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100 машин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2,3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200 машин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3,5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300 машин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4,5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500 машин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6,5</w:t>
            </w:r>
          </w:p>
        </w:tc>
      </w:tr>
      <w:tr w:rsidR="0098570C">
        <w:tc>
          <w:tcPr>
            <w:tcW w:w="4195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Вместимость автостанции (пассажиров)</w:t>
            </w: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при расчетном суточном </w:t>
            </w:r>
            <w:r>
              <w:lastRenderedPageBreak/>
              <w:t>отправлении от 100 до 200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10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200 до 400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25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400 до 600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600 до 1000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75</w:t>
            </w:r>
          </w:p>
        </w:tc>
      </w:tr>
      <w:tr w:rsidR="0098570C">
        <w:tc>
          <w:tcPr>
            <w:tcW w:w="4195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Количество постов (посадки/высадки)</w:t>
            </w: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100 до 200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2 (1/1)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200 до 400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3 (2/1)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400 до 600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3 (2/1)</w:t>
            </w:r>
          </w:p>
        </w:tc>
      </w:tr>
      <w:tr w:rsidR="0098570C">
        <w:tc>
          <w:tcPr>
            <w:tcW w:w="4195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145" w:type="dxa"/>
          </w:tcPr>
          <w:p w:rsidR="0098570C" w:rsidRDefault="0098570C">
            <w:pPr>
              <w:pStyle w:val="ConsPlusNormal"/>
              <w:jc w:val="center"/>
            </w:pPr>
            <w:r>
              <w:t>при расчетном суточном отправлении от 600 до 1000</w:t>
            </w:r>
          </w:p>
        </w:tc>
        <w:tc>
          <w:tcPr>
            <w:tcW w:w="1674" w:type="dxa"/>
          </w:tcPr>
          <w:p w:rsidR="0098570C" w:rsidRDefault="0098570C">
            <w:pPr>
              <w:pStyle w:val="ConsPlusNormal"/>
              <w:jc w:val="center"/>
            </w:pPr>
            <w:r>
              <w:t>5 (3/2)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 xml:space="preserve">Статья 12. Расчетные показатели минимально допустимого количества </w:t>
      </w:r>
      <w:proofErr w:type="spellStart"/>
      <w:r>
        <w:t>машино</w:t>
      </w:r>
      <w:proofErr w:type="spellEnd"/>
      <w:r>
        <w:t>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Расчетные показатели минимально допустимого количества </w:t>
      </w:r>
      <w:proofErr w:type="spellStart"/>
      <w:r>
        <w:t>машино</w:t>
      </w:r>
      <w:proofErr w:type="spellEnd"/>
      <w:r>
        <w:t>-мест для парковки легковых автомобилей, размещаемых в непосредственной близости от отдельно стоящих объектов капитального строительства в границах жилых, общественно-деловых и иных функциональных зон, устанавливаются региональными нормативами градостроительного проектирования Архангельской области.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5. РАСЧЕТНЫЕ ПОКАЗАТЕЛИ, УСТАНАВЛИВАЕМЫЕ ДЛЯ ОБЪЕКТОВ</w:t>
      </w:r>
    </w:p>
    <w:p w:rsidR="0098570C" w:rsidRDefault="0098570C">
      <w:pPr>
        <w:pStyle w:val="ConsPlusTitle"/>
        <w:jc w:val="center"/>
      </w:pPr>
      <w:r>
        <w:t>ИНЖЕНЕРНОЙ ИНФРАСТРУКТУРЫ МЕСТНОГО 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13. Расчетные показатели обеспеченности объектами электроснабжения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11. Нормативы, применяемые для расчетов системы электроснабжения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870"/>
        <w:gridCol w:w="1531"/>
      </w:tblGrid>
      <w:tr w:rsidR="0098570C">
        <w:tc>
          <w:tcPr>
            <w:tcW w:w="567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98570C" w:rsidRDefault="0098570C">
            <w:pPr>
              <w:pStyle w:val="ConsPlusNormal"/>
              <w:jc w:val="center"/>
            </w:pPr>
            <w:r>
              <w:t>Функциональное назначение территории</w:t>
            </w:r>
          </w:p>
        </w:tc>
        <w:tc>
          <w:tcPr>
            <w:tcW w:w="1870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567" w:type="dxa"/>
          </w:tcPr>
          <w:p w:rsidR="0098570C" w:rsidRDefault="009857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</w:tcPr>
          <w:p w:rsidR="0098570C" w:rsidRDefault="0098570C">
            <w:pPr>
              <w:pStyle w:val="ConsPlusNormal"/>
              <w:jc w:val="center"/>
            </w:pPr>
            <w:r>
              <w:t>Жилая застройка (включая объекты обслуживания повседневного пользования)</w:t>
            </w:r>
          </w:p>
        </w:tc>
        <w:tc>
          <w:tcPr>
            <w:tcW w:w="1870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Вт</w:t>
            </w:r>
            <w:proofErr w:type="gramEnd"/>
            <w:r>
              <w:t>/кв. м общей площади зданий</w:t>
            </w:r>
          </w:p>
        </w:tc>
        <w:tc>
          <w:tcPr>
            <w:tcW w:w="1531" w:type="dxa"/>
          </w:tcPr>
          <w:p w:rsidR="0098570C" w:rsidRDefault="0098570C">
            <w:pPr>
              <w:pStyle w:val="ConsPlusNormal"/>
              <w:jc w:val="center"/>
            </w:pPr>
            <w:r>
              <w:t>30</w:t>
            </w:r>
          </w:p>
        </w:tc>
      </w:tr>
      <w:tr w:rsidR="0098570C">
        <w:tc>
          <w:tcPr>
            <w:tcW w:w="567" w:type="dxa"/>
          </w:tcPr>
          <w:p w:rsidR="0098570C" w:rsidRDefault="009857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</w:tcPr>
          <w:p w:rsidR="0098570C" w:rsidRDefault="0098570C">
            <w:pPr>
              <w:pStyle w:val="ConsPlusNormal"/>
              <w:jc w:val="center"/>
            </w:pPr>
            <w:r>
              <w:t>Общественно-деловая застройка</w:t>
            </w:r>
          </w:p>
        </w:tc>
        <w:tc>
          <w:tcPr>
            <w:tcW w:w="1870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Вт</w:t>
            </w:r>
            <w:proofErr w:type="gramEnd"/>
            <w:r>
              <w:t>/кв. м общей площади зданий</w:t>
            </w:r>
          </w:p>
        </w:tc>
        <w:tc>
          <w:tcPr>
            <w:tcW w:w="1531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</w:tr>
      <w:tr w:rsidR="0098570C">
        <w:tc>
          <w:tcPr>
            <w:tcW w:w="567" w:type="dxa"/>
          </w:tcPr>
          <w:p w:rsidR="0098570C" w:rsidRDefault="009857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</w:tcPr>
          <w:p w:rsidR="0098570C" w:rsidRDefault="0098570C">
            <w:pPr>
              <w:pStyle w:val="ConsPlusNormal"/>
              <w:jc w:val="center"/>
            </w:pPr>
            <w:r>
              <w:t>Застройка производственного и складского назначения</w:t>
            </w:r>
          </w:p>
        </w:tc>
        <w:tc>
          <w:tcPr>
            <w:tcW w:w="1870" w:type="dxa"/>
          </w:tcPr>
          <w:p w:rsidR="0098570C" w:rsidRDefault="0098570C">
            <w:pPr>
              <w:pStyle w:val="ConsPlusNormal"/>
              <w:jc w:val="center"/>
            </w:pPr>
            <w:r>
              <w:t>кВт/</w:t>
            </w:r>
            <w:proofErr w:type="gramStart"/>
            <w:r>
              <w:t>га</w:t>
            </w:r>
            <w:proofErr w:type="gramEnd"/>
            <w:r>
              <w:t xml:space="preserve"> территории</w:t>
            </w:r>
          </w:p>
        </w:tc>
        <w:tc>
          <w:tcPr>
            <w:tcW w:w="1531" w:type="dxa"/>
          </w:tcPr>
          <w:p w:rsidR="0098570C" w:rsidRDefault="0098570C">
            <w:pPr>
              <w:pStyle w:val="ConsPlusNormal"/>
              <w:jc w:val="center"/>
            </w:pPr>
            <w:r>
              <w:t>170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12. Показатели электропотребления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381"/>
        <w:gridCol w:w="2127"/>
      </w:tblGrid>
      <w:tr w:rsidR="0098570C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Степень благоустройства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 xml:space="preserve">Электропотребление </w:t>
            </w:r>
            <w:r>
              <w:lastRenderedPageBreak/>
              <w:t>(</w:t>
            </w:r>
            <w:proofErr w:type="gramStart"/>
            <w:r>
              <w:t>кВт-ч</w:t>
            </w:r>
            <w:proofErr w:type="gramEnd"/>
            <w:r>
              <w:t>/год на 1 чел.)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 xml:space="preserve">Использование </w:t>
            </w:r>
            <w:r>
              <w:lastRenderedPageBreak/>
              <w:t>максимума электрической нагрузки (</w:t>
            </w:r>
            <w:proofErr w:type="gramStart"/>
            <w:r>
              <w:t>ч</w:t>
            </w:r>
            <w:proofErr w:type="gramEnd"/>
            <w:r>
              <w:t>/год)</w:t>
            </w: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Жилые объекты, не оборудованные стационарными электроплитами,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</w:pP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без кондиционеров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5200</w:t>
            </w: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с кондиционерами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5700</w:t>
            </w: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Жилые объекты, оборудованные стационарными электроплитами,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98570C" w:rsidRDefault="0098570C">
            <w:pPr>
              <w:pStyle w:val="ConsPlusNormal"/>
            </w:pP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без кондиционеров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8570C" w:rsidRDefault="0098570C">
            <w:pPr>
              <w:pStyle w:val="ConsPlusNormal"/>
              <w:jc w:val="center"/>
            </w:pPr>
            <w:r>
              <w:t>5300</w:t>
            </w:r>
          </w:p>
        </w:tc>
      </w:tr>
      <w:tr w:rsidR="0098570C">
        <w:tblPrEx>
          <w:tblBorders>
            <w:insideH w:val="none" w:sz="0" w:space="0" w:color="auto"/>
          </w:tblBorders>
        </w:tblPrEx>
        <w:tc>
          <w:tcPr>
            <w:tcW w:w="4422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с кондиционерами</w:t>
            </w: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98570C" w:rsidRDefault="0098570C">
            <w:pPr>
              <w:pStyle w:val="ConsPlusNormal"/>
              <w:jc w:val="center"/>
            </w:pPr>
            <w:r>
              <w:t>5800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14. Расчетные показатели обеспеченности объектами водоснабжения и водоотведения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Норматив обеспеченности объектами водоснабжения и водоотведения принимается не менее 96,0 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 xml:space="preserve"> на 1 человека в год.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Минимальные расчетные удельные среднесуточные расходы холодной и горячей воды на хозяйственно-питьевые нужды (без учета расходов на полив зеленых насаждений) жилой застройки на одного жителя устанавливаются на основании действующего свода правил "Водоснабжение. Наружные сети и сооружения. Актуализированная редакция СНиП 2.04.02-84*" (далее - СП 31.13330.2012).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Проектирование систем хозяйственно-питьевого водоснабжения и канализации населенных пунктов городского округа "Город Архангельск" следует производить в соответствии с требованиями СП 31.13330.2012, СП 32.13330.2012 "Канализация. Наружные сети. Актуализированная редакция СНиП 2.04.03-85" (далее - СП 32.13330.2012) с учетом санитарно-гигиенической надежности получения питьевой воды, экологических и ресурсосберегающих требований.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Проектирование дождевой канализации следует осуществлять на основании действующих нормативных документов: СП 32.13330.2012, СанПиН 2.1.5.980-00.2.1.5 "Водоотведение населенных мест, санитарная охрана водных объектов. Гигиенические требования к охране поверхностных вод", Водного кодекса РФ.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5. Для определения размеров отводящих труб необходимо учитывать расчетный максимальный расход дождевой воды, поступающей в сеть. Этот расход зависит от принятой расчетной интенсивности дождя, его продолжительности, коэффициента стока и площади водосбора.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Для ориентировочных расчетов суточный объем поверхностного стока, поступающий на очистные сооружения с территорий жилых и общественно-деловых зон, принимается в зависимости от структурной части территории (</w:t>
      </w:r>
      <w:hyperlink w:anchor="P461">
        <w:r>
          <w:rPr>
            <w:color w:val="0000FF"/>
          </w:rPr>
          <w:t>таблица 13</w:t>
        </w:r>
      </w:hyperlink>
      <w:r>
        <w:t>).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3" w:name="P461"/>
      <w:bookmarkEnd w:id="3"/>
      <w:r>
        <w:t>Таблица 13. Суточный объем поверхностного стока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706"/>
      </w:tblGrid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Межмагистральные</w:t>
            </w:r>
            <w:proofErr w:type="spellEnd"/>
            <w:r>
              <w:t xml:space="preserve"> территории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Объем поверхностных вод, поступающих на очистку (куб. м/</w:t>
            </w:r>
            <w:proofErr w:type="spellStart"/>
            <w:r>
              <w:t>сут</w:t>
            </w:r>
            <w:proofErr w:type="spellEnd"/>
            <w:r>
              <w:t>. с 1 га территории)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от 5 до 10</w:t>
            </w:r>
          </w:p>
        </w:tc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45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10 до 50 га</w:t>
            </w:r>
          </w:p>
        </w:tc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40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15. Расчетные показатели обеспеченности объектами теплоснабжения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spellStart"/>
      <w:r>
        <w:t>Энергогенерирующие</w:t>
      </w:r>
      <w:proofErr w:type="spellEnd"/>
      <w:r>
        <w:t xml:space="preserve"> сооружения, устройства, котельные, предназначенные для теплоснабжения промышленных предприятий, а также жилой и общественной застройки, размещаются на территории производственных зон.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В зонах многоквартирной малоэтажной жилой застройки, индивидуальной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 и противопожарных требований.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Нормативы обеспеченности объектами теплоснабжения принимаются в размере не менее 0,5 килокалории на отопление 1 кв. м площади в год.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4. Размеры земельных участков для отдельно стоящих котельных, размещаемых в районах жилой застройки, следует принимать по </w:t>
      </w:r>
      <w:hyperlink w:anchor="P479">
        <w:r>
          <w:rPr>
            <w:color w:val="0000FF"/>
          </w:rPr>
          <w:t>таблице 14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4" w:name="P479"/>
      <w:bookmarkEnd w:id="4"/>
      <w:r>
        <w:t>Таблица 14. Размеры земельных участков для отдельно стоящих котельных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381"/>
        <w:gridCol w:w="2381"/>
      </w:tblGrid>
      <w:tr w:rsidR="0098570C">
        <w:tc>
          <w:tcPr>
            <w:tcW w:w="4252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Теплопроизводительность</w:t>
            </w:r>
            <w:proofErr w:type="spellEnd"/>
            <w:r>
              <w:t xml:space="preserve"> котельных [Гкал/</w:t>
            </w:r>
            <w:proofErr w:type="gramStart"/>
            <w:r>
              <w:t>ч</w:t>
            </w:r>
            <w:proofErr w:type="gramEnd"/>
            <w:r>
              <w:t xml:space="preserve"> (МВт)]</w:t>
            </w:r>
          </w:p>
        </w:tc>
        <w:tc>
          <w:tcPr>
            <w:tcW w:w="4762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 xml:space="preserve">Размеры земельных участков (га) котельных, работающих </w:t>
            </w:r>
            <w:proofErr w:type="gramStart"/>
            <w:r>
              <w:t>на</w:t>
            </w:r>
            <w:proofErr w:type="gramEnd"/>
          </w:p>
        </w:tc>
      </w:tr>
      <w:tr w:rsidR="0098570C">
        <w:tc>
          <w:tcPr>
            <w:tcW w:w="4252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твердом </w:t>
            </w:r>
            <w:proofErr w:type="gramStart"/>
            <w:r>
              <w:t>топливе</w:t>
            </w:r>
            <w:proofErr w:type="gramEnd"/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газомазутном</w:t>
            </w:r>
            <w:proofErr w:type="spellEnd"/>
            <w:r>
              <w:t xml:space="preserve"> </w:t>
            </w:r>
            <w:proofErr w:type="gramStart"/>
            <w:r>
              <w:t>топливе</w:t>
            </w:r>
            <w:proofErr w:type="gramEnd"/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0,7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5 до 10 (от 6 до 12)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1,0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10 до 50 (от 12 до 58)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1,5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50 до 100 (от 58 до 116)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2,5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100 до 200 (от 116 до 233)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3,0</w:t>
            </w:r>
          </w:p>
        </w:tc>
      </w:tr>
      <w:tr w:rsidR="0098570C">
        <w:tc>
          <w:tcPr>
            <w:tcW w:w="4252" w:type="dxa"/>
          </w:tcPr>
          <w:p w:rsidR="0098570C" w:rsidRDefault="0098570C">
            <w:pPr>
              <w:pStyle w:val="ConsPlusNormal"/>
              <w:jc w:val="center"/>
            </w:pPr>
            <w:r>
              <w:t>от 200 до 400 (от 233 до 466)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381" w:type="dxa"/>
          </w:tcPr>
          <w:p w:rsidR="0098570C" w:rsidRDefault="0098570C">
            <w:pPr>
              <w:pStyle w:val="ConsPlusNormal"/>
              <w:jc w:val="center"/>
            </w:pPr>
            <w:r>
              <w:t>3,5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16. Расчетные показатели обеспеченности объектами газоснабжения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Норматив обеспеченности объектами газоснабжения (индивидуально-бытовые нужды населения) принимается в размере не менее 120 куб. м на 1 человека в год.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Обеспечение объектами газоснабжения осуществляется с учетом нормативов потребления природного газа, указанных в </w:t>
      </w:r>
      <w:hyperlink w:anchor="P509">
        <w:r>
          <w:rPr>
            <w:color w:val="0000FF"/>
          </w:rPr>
          <w:t>таблице 15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5" w:name="P509"/>
      <w:bookmarkEnd w:id="5"/>
      <w:r>
        <w:t>Таблица 15. Нормативы потребления природного газа (при отсутствии приборов учета)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438"/>
        <w:gridCol w:w="1560"/>
      </w:tblGrid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Плита в расчете на 1 человека (с централизованным горячим водоснабжением)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8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Плита в расчете на 1 человека (при отсутствии централизованного горячего водоснабжения)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14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Подогрев воды с использованием газового водонагревателя (при отсутствии централизованного горячего водоснабжения)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15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Плита при наличии водонагревателя (при отсутствии централизованного горячего водоснабжения)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23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7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17. Расчетные показатели обеспеченности объектами связи и информатизации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16. Расчетные показатели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2438"/>
        <w:gridCol w:w="1560"/>
      </w:tblGrid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Размер земельного участка для размещения антенно-мачтового сооружения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от 0,3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Полоса земли для прокладки кабелей (по всей длине трассы)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6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Полоса земли для установки опор и подвески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6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Уровень охвата населения стационарной или мобильной связью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100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Уровень охвата населения доступом в Интернет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90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Скорость передачи данных на пользовательское оборудование с использованием волоконно-оптической линии связи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Мбит/сек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не менее 10</w:t>
            </w:r>
          </w:p>
        </w:tc>
      </w:tr>
      <w:tr w:rsidR="0098570C">
        <w:tc>
          <w:tcPr>
            <w:tcW w:w="5046" w:type="dxa"/>
          </w:tcPr>
          <w:p w:rsidR="0098570C" w:rsidRDefault="0098570C">
            <w:pPr>
              <w:pStyle w:val="ConsPlusNormal"/>
              <w:jc w:val="center"/>
            </w:pPr>
            <w:r>
              <w:t>Точка доступа телекоммуникационных сетей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точка доступа на семью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1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18. Инженерная подготовка и защита территорий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При подготовке проектов планировки территорий городского округа "Город Архангельск" при необходимости следует предусматривать инженерную защиту от затопления, подтопления.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6. РАСЧЕТНЫЕ ПОКАЗАТЕЛИ В СФЕРЕ</w:t>
      </w:r>
    </w:p>
    <w:p w:rsidR="0098570C" w:rsidRDefault="0098570C">
      <w:pPr>
        <w:pStyle w:val="ConsPlusTitle"/>
        <w:jc w:val="center"/>
      </w:pPr>
      <w:r>
        <w:t>ОХРАНЫ ОКРУЖАЮЩЕЙ СРЕДЫ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lastRenderedPageBreak/>
        <w:t>Статья 19. Обеспечение экологической безопасности и охраны здоровья населения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При планировке и застройке городского округа "Город Архангельск"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На территории городского округа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нормативными правовыми актами.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20. Требования по уровням шума (вибрации) в жилых и общественных зданиях, а также на прилегающих к ним территориях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Допустимые условия шума в жилых и общественных зданиях и на прилегающих к ним территориях, шумовые характеристики основных источников внешнего шума, порядок определения ожидаемых уровней шума и требуемого их снижения в расчетных точках следует принимать в соответствии с СП 51.13330.2011 "Защита от шума. Актуализированная редакция СНиП 23-03-2003".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>
        <w:t>виброгасящих</w:t>
      </w:r>
      <w:proofErr w:type="spellEnd"/>
      <w:r>
        <w:t xml:space="preserve"> материалов и конструкций.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При размещении радиотехнических объектов следует руководствоваться СанПиН 2.1.8/2.2.4.1383-03 "Гигиенические требования к размещению и эксплуатации передающих радиотехнических объектов", СанПиН 297-84 "Санитарные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частоты" и Правилами устройства электроустановок.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21. Нормативы озеленения площади санитарно-защитных зон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Нормативы озеленения площади санитарно-защитных зон, отделяющих автомобильные дороги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Нормативы озеленения площади санитарно-защитных зон, отделяющих железнодорожные линии от объектов жилой застройки, принимаются в зависимости от ширины зоны: до 300 м - не менее 60 процентов; от 300 м до 1000 м - не менее 50 процентов; свыше 1000 м - не менее 40 процентов.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22. Расчетные показатели санитарной очистки территории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Нормативы образования твердых бытовых отходов, жидких бытовых отходов и крупногабаритного мусора населением, проживающим в жилищном фонде, из расчета накопления на 1 человека в год устанавливаются в соответствии с </w:t>
      </w:r>
      <w:hyperlink w:anchor="P589">
        <w:r>
          <w:rPr>
            <w:color w:val="0000FF"/>
          </w:rPr>
          <w:t>таблицей 17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</w:pPr>
      <w:bookmarkStart w:id="6" w:name="P589"/>
      <w:bookmarkEnd w:id="6"/>
      <w:r>
        <w:t>Таблица 17. Нормативы образования отходов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438"/>
        <w:gridCol w:w="1560"/>
      </w:tblGrid>
      <w:tr w:rsidR="0098570C">
        <w:tc>
          <w:tcPr>
            <w:tcW w:w="4082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4082" w:type="dxa"/>
          </w:tcPr>
          <w:p w:rsidR="0098570C" w:rsidRDefault="0098570C">
            <w:pPr>
              <w:pStyle w:val="ConsPlusNormal"/>
              <w:jc w:val="center"/>
            </w:pPr>
            <w:r>
              <w:t>Норма накопления твердых бытовых отходов для жилищного фонда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 на 1 чел.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1,7</w:t>
            </w:r>
          </w:p>
        </w:tc>
      </w:tr>
      <w:tr w:rsidR="0098570C">
        <w:tc>
          <w:tcPr>
            <w:tcW w:w="4082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Норма накопления жидких бытовых отходов для </w:t>
            </w:r>
            <w:proofErr w:type="spellStart"/>
            <w:r>
              <w:t>неканализированного</w:t>
            </w:r>
            <w:proofErr w:type="spellEnd"/>
            <w:r>
              <w:t xml:space="preserve"> жилищного фонда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 на 1 чел.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2,56</w:t>
            </w:r>
          </w:p>
        </w:tc>
      </w:tr>
      <w:tr w:rsidR="0098570C">
        <w:tc>
          <w:tcPr>
            <w:tcW w:w="4082" w:type="dxa"/>
          </w:tcPr>
          <w:p w:rsidR="0098570C" w:rsidRDefault="0098570C">
            <w:pPr>
              <w:pStyle w:val="ConsPlusNormal"/>
              <w:jc w:val="center"/>
            </w:pPr>
            <w:r>
              <w:t>Норма накопления крупногабаритного мусора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куб. м на 1 чел.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0,086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2. Площади земельных участков, предусмотренных для размещения предприятий и сооружений по обезвреживанию, транспортировке и переработке твердых бытовых отходов и очистке от снега, устанавливаются в соответствии с </w:t>
      </w:r>
      <w:hyperlink w:anchor="P606">
        <w:r>
          <w:rPr>
            <w:color w:val="0000FF"/>
          </w:rPr>
          <w:t>таблицей 18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</w:pPr>
      <w:bookmarkStart w:id="7" w:name="P606"/>
      <w:bookmarkEnd w:id="7"/>
      <w:r>
        <w:t>Таблица 18. Площади земельных участков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438"/>
        <w:gridCol w:w="1560"/>
      </w:tblGrid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r>
              <w:t>Объекты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r>
              <w:t>Полигоны и мусороперерабатывающие комплексы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тонн твердых бытовых отходов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0,05</w:t>
            </w:r>
          </w:p>
        </w:tc>
      </w:tr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r>
              <w:t>Мусороперегрузочные и сортировочные станции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тонн твердых бытовых отходов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0,04</w:t>
            </w:r>
          </w:p>
        </w:tc>
      </w:tr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Снегоприемные</w:t>
            </w:r>
            <w:proofErr w:type="spellEnd"/>
            <w:r>
              <w:t xml:space="preserve"> пункты со </w:t>
            </w:r>
            <w:proofErr w:type="spellStart"/>
            <w:r>
              <w:t>снегоплавильной</w:t>
            </w:r>
            <w:proofErr w:type="spellEnd"/>
            <w:r>
              <w:t xml:space="preserve"> установкой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куб. м снега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0,001</w:t>
            </w:r>
          </w:p>
        </w:tc>
      </w:tr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proofErr w:type="spellStart"/>
            <w:r>
              <w:t>Снегоприемные</w:t>
            </w:r>
            <w:proofErr w:type="spellEnd"/>
            <w:r>
              <w:t xml:space="preserve"> пункты без </w:t>
            </w:r>
            <w:proofErr w:type="spellStart"/>
            <w:r>
              <w:t>снегоплавильной</w:t>
            </w:r>
            <w:proofErr w:type="spellEnd"/>
            <w:r>
              <w:t xml:space="preserve"> установки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куб. м снега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0,014</w:t>
            </w:r>
          </w:p>
        </w:tc>
      </w:tr>
      <w:tr w:rsidR="0098570C">
        <w:tc>
          <w:tcPr>
            <w:tcW w:w="3628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Склады </w:t>
            </w:r>
            <w:proofErr w:type="spellStart"/>
            <w:r>
              <w:t>противогололедных</w:t>
            </w:r>
            <w:proofErr w:type="spellEnd"/>
            <w:r>
              <w:t xml:space="preserve"> материалов</w:t>
            </w:r>
          </w:p>
        </w:tc>
        <w:tc>
          <w:tcPr>
            <w:tcW w:w="243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материалов в год</w:t>
            </w:r>
          </w:p>
        </w:tc>
        <w:tc>
          <w:tcPr>
            <w:tcW w:w="1560" w:type="dxa"/>
          </w:tcPr>
          <w:p w:rsidR="0098570C" w:rsidRDefault="0098570C">
            <w:pPr>
              <w:pStyle w:val="ConsPlusNormal"/>
              <w:jc w:val="center"/>
            </w:pPr>
            <w:r>
              <w:t>0,03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23. Расчетные показатели минимально допустимого уровня обеспеченности, устанавливаемые для объектов местного значения в области предупреждения и ликвидации последствий чрезвычайных ситуаций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22.07.2008 N 123-ФЗ "Технический регламент о требованиях пожарной безопасности",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21.12.1994 N 69-ФЗ "О пожарной безопасности",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2. Площади земельных участков для размещения пожарных депо устанавливаются с учетом следующих нормативов: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на 2 пожарных автомобиля - 0,8 га;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на 4 пожарных автомобиля - 1,0 га;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на 6 пожарных автомобилей - 1,2 га.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7. ОБЕСПЕЧЕНИЕ ПЕРЕДВИЖЕНИЯ ИНВАЛИДОВ</w:t>
      </w:r>
    </w:p>
    <w:p w:rsidR="0098570C" w:rsidRDefault="0098570C">
      <w:pPr>
        <w:pStyle w:val="ConsPlusTitle"/>
        <w:jc w:val="center"/>
      </w:pPr>
      <w:r>
        <w:t>И МАЛОМОБИЛЬНЫХ ГРУПП НАСЕЛЕНИЯ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24. Доступность жилых объектов и объектов социальной инфраструктуры для инвалидов и маломобильных групп населения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При планировке и застройке территории городского округа "Город Архангельск"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При проектировании и реконструкции общественных, жилых и промышленных зданий и сооружений следует предусматривать для инвалидов и маломобильных групп населения условия жизнедеятельности, равные с остальными категориями населения, в соответствии с СП 59.13330.2012 "Доступность зданий и сооружений для маломобильных групп населения. Актуализированная редакция СНиП 35-01-2001", СП 31-102-99 "Требования доступности общественных зданий и сооружений для инвалидов и других маломобильных посетителей", СП 35-101-2001 "Проектирование зданий и сооружений с учетом доступности для маломобильных групп населения. Общие положения", СП 35-102-2001 "Жилая среда с планировочными элементами, доступными инвалидам", СП 35-103-2001 "Общественные здания и сооружения, доступные маломобильным посетителям", ВСН 62-91* "Проектирование среды жизнедеятельности с учетом потребностей инвалидов и маломобильных групп населения", РДС 35-201-99 "Порядок реализации требований доступности для инвалидов к объектам социальной инфраструктуры".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проектирования.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8. ПРАВИЛА И ОБЛАСТЬ ПРИМЕНЕНИЯ</w:t>
      </w:r>
    </w:p>
    <w:p w:rsidR="0098570C" w:rsidRDefault="0098570C">
      <w:pPr>
        <w:pStyle w:val="ConsPlusTitle"/>
        <w:jc w:val="center"/>
      </w:pPr>
      <w:r>
        <w:t>РАСЧЕТНЫХ ПОКАЗАТЕЛЕЙ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25. Показатели объектов местного значения, применяемые при подготовке документов территориального планирования, градостроительного зонирования, а также документации по планировке территорий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19. Расчетные показатели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sectPr w:rsidR="0098570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928"/>
        <w:gridCol w:w="964"/>
        <w:gridCol w:w="964"/>
        <w:gridCol w:w="964"/>
      </w:tblGrid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Наименование расчетного показателя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Единицы измерения расчетного показателя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ГП </w:t>
            </w:r>
            <w:hyperlink w:anchor="P79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ПП </w:t>
            </w:r>
            <w:hyperlink w:anchor="P79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ПЗЗ </w:t>
            </w:r>
            <w:hyperlink w:anchor="P799">
              <w:r>
                <w:rPr>
                  <w:color w:val="0000FF"/>
                </w:rPr>
                <w:t>&lt;***&gt;</w:t>
              </w:r>
            </w:hyperlink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утилизация и переработка бытовых отходов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Площадь 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га</w:t>
            </w:r>
            <w:proofErr w:type="gramEnd"/>
            <w:r>
              <w:t xml:space="preserve"> на 1 тыс. тонн твердых бытовых отходов в год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благоустройство (озеленение) территории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кв. м/чел.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энергетика и инженерная инфраструктура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Укрупненный показатель электропотребления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кВт-ч</w:t>
            </w:r>
            <w:proofErr w:type="gramEnd"/>
            <w:r>
              <w:t>/год на 1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Площадь земельного участка для отдельно стоящих котельных в зависимости от </w:t>
            </w:r>
            <w:proofErr w:type="spellStart"/>
            <w:r>
              <w:t>теплопроизводительности</w:t>
            </w:r>
            <w:proofErr w:type="spellEnd"/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куб. м/чел. в месяц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Показатель удельного водопотребления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на 1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Показатель удельного водоотведения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>. (куб. м/мес.;</w:t>
            </w:r>
          </w:p>
          <w:p w:rsidR="0098570C" w:rsidRDefault="0098570C">
            <w:pPr>
              <w:pStyle w:val="ConsPlusNormal"/>
              <w:jc w:val="center"/>
            </w:pPr>
            <w:r>
              <w:t>куб. м/год) на 1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место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территориальной доступности дошкольных образовательных учреждений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м</w:t>
            </w:r>
            <w:proofErr w:type="gramEnd"/>
            <w:r>
              <w:t>;</w:t>
            </w:r>
          </w:p>
          <w:p w:rsidR="0098570C" w:rsidRDefault="0098570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Размер земельного участка дошкольных образовательных учреждений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кв. м/место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общеобразовательными учреждениями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учащихся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территориальной доступности общеобразовательных учреждений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м</w:t>
            </w:r>
            <w:proofErr w:type="gramEnd"/>
            <w:r>
              <w:t>;</w:t>
            </w:r>
          </w:p>
          <w:p w:rsidR="0098570C" w:rsidRDefault="0098570C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Размер земельного участка общеобразовательных учреждений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объекты культуры и социального обеспечения местного значения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библиотеками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тыс. томов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мест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выставочными залами, музеями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посещений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кв. м площади пола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мест на трибунах 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 xml:space="preserve">Уровень обеспеченности плавательными </w:t>
            </w:r>
            <w:r>
              <w:lastRenderedPageBreak/>
              <w:t>бассейнами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 xml:space="preserve">кв. м зеркала воды </w:t>
            </w:r>
            <w:r>
              <w:lastRenderedPageBreak/>
              <w:t>на 1 тыс. чел.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-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</w:pPr>
          </w:p>
        </w:tc>
        <w:tc>
          <w:tcPr>
            <w:tcW w:w="9015" w:type="dxa"/>
            <w:gridSpan w:val="5"/>
          </w:tcPr>
          <w:p w:rsidR="0098570C" w:rsidRDefault="0098570C">
            <w:pPr>
              <w:pStyle w:val="ConsPlusNormal"/>
              <w:jc w:val="center"/>
            </w:pPr>
            <w:r>
              <w:t>предупреждение чрезвычайных ситуаций и ликвидации их последствий</w:t>
            </w:r>
          </w:p>
        </w:tc>
      </w:tr>
      <w:tr w:rsidR="0098570C">
        <w:tc>
          <w:tcPr>
            <w:tcW w:w="624" w:type="dxa"/>
          </w:tcPr>
          <w:p w:rsidR="0098570C" w:rsidRDefault="0098570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</w:tcPr>
          <w:p w:rsidR="0098570C" w:rsidRDefault="0098570C">
            <w:pPr>
              <w:pStyle w:val="ConsPlusNormal"/>
              <w:jc w:val="center"/>
            </w:pPr>
            <w:r>
              <w:t>Размер земельного участка для размещения пожарных депо</w:t>
            </w:r>
          </w:p>
        </w:tc>
        <w:tc>
          <w:tcPr>
            <w:tcW w:w="1928" w:type="dxa"/>
          </w:tcPr>
          <w:p w:rsidR="0098570C" w:rsidRDefault="0098570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4" w:type="dxa"/>
          </w:tcPr>
          <w:p w:rsidR="0098570C" w:rsidRDefault="0098570C">
            <w:pPr>
              <w:pStyle w:val="ConsPlusNormal"/>
              <w:jc w:val="center"/>
            </w:pPr>
            <w:r>
              <w:t>+</w:t>
            </w:r>
          </w:p>
        </w:tc>
      </w:tr>
    </w:tbl>
    <w:p w:rsidR="0098570C" w:rsidRDefault="0098570C">
      <w:pPr>
        <w:pStyle w:val="ConsPlusNormal"/>
        <w:sectPr w:rsidR="0098570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--------------------------------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Примечание:</w:t>
      </w:r>
    </w:p>
    <w:p w:rsidR="0098570C" w:rsidRDefault="0098570C">
      <w:pPr>
        <w:pStyle w:val="ConsPlusNormal"/>
        <w:spacing w:before="220"/>
        <w:ind w:firstLine="540"/>
        <w:jc w:val="both"/>
      </w:pPr>
      <w:bookmarkStart w:id="8" w:name="P797"/>
      <w:bookmarkEnd w:id="8"/>
      <w:r>
        <w:t>&lt;*&gt; ГП - генеральный план;</w:t>
      </w:r>
    </w:p>
    <w:p w:rsidR="0098570C" w:rsidRDefault="0098570C">
      <w:pPr>
        <w:pStyle w:val="ConsPlusNormal"/>
        <w:spacing w:before="220"/>
        <w:ind w:firstLine="540"/>
        <w:jc w:val="both"/>
      </w:pPr>
      <w:bookmarkStart w:id="9" w:name="P798"/>
      <w:bookmarkEnd w:id="9"/>
      <w:r>
        <w:t>&lt;**&gt; ПП - документация по планировке территории;</w:t>
      </w:r>
    </w:p>
    <w:p w:rsidR="0098570C" w:rsidRDefault="0098570C">
      <w:pPr>
        <w:pStyle w:val="ConsPlusNormal"/>
        <w:spacing w:before="220"/>
        <w:ind w:firstLine="540"/>
        <w:jc w:val="both"/>
      </w:pPr>
      <w:bookmarkStart w:id="10" w:name="P799"/>
      <w:bookmarkEnd w:id="10"/>
      <w:r>
        <w:t>&lt;***&gt; ПЗЗ - правила землепользования и застройки;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"+" - показатели отображаются;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"-" - показатели не отображаются.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1"/>
      </w:pPr>
      <w:r>
        <w:t>Раздел II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</w:pPr>
      <w:r>
        <w:t>МАТЕРИАЛЫ ПО ОБОСНОВАНИЮ РАСЧЕТНЫХ ПОКАЗАТЕЛЕЙ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9. ОБЩИЕ ПОЛОЖЕНИЯ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26. Назначение и область применения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Местные нормативы градостроительного проектирования городского округа "Город Архангельск" разработаны в соответствии с Градостроительным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городского округа "Город Архангельск".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2. Местные нормативы 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Нормативы разработаны в целях обеспечения устойчивого развития территории городского округа "Город Архангельск" с учетом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</w:t>
      </w:r>
      <w:proofErr w:type="gramEnd"/>
      <w:r>
        <w:t xml:space="preserve"> Российской Федерации, Архангельской области и нормативными правовыми актами городского округа "Город Архангельск", гражданам, в том числе инвалидам и другим маломобильным группам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4. 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27.12.2002 N 184-ФЗ "О техническом регулировании", региональными нормативами градостроительного проектирования Архангельской области. При отмене и/или изменении действующих нормативных документов, в том числе тех, на которые дается ссылка в нормативах, вопросы регулируются в соответствии с нормами, вводимыми взамен отмененных.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 xml:space="preserve">Статья 27. Анализ административно-территориального устройства, природно-климатических условий, социально-демографического развития городского округа "Город </w:t>
      </w:r>
      <w:r>
        <w:lastRenderedPageBreak/>
        <w:t>Архангельск", влияющих на установление расчетных показателей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При определении перспектив градостроительного развития и планировки территории городского округа "Город Архангельск" учитываются: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численность населения на расчетный срок - 2025 год;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роль города Архангельска как административного центра Архангельской области;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историко-культурное значение города;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прогноз социально-экономического развития территории;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- санитарно-эпидемиологическая и экологическая обстановка на планируемых к развитию территориях.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По состоянию на 1 января 2021 года численность населения городского округа "Город Архангельск" составляла 346 979 человек.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Городской округ "Город Архангельск" в соответствии с проектной численностью населения относится к крупным городам.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Прогноз численности и состава населения для города выполнен на основе статистических данных.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</w:pPr>
      <w:r>
        <w:t>Таблица 20. Численность населения городского округа "Город Архангельск"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175"/>
      </w:tblGrid>
      <w:tr w:rsidR="0098570C">
        <w:tc>
          <w:tcPr>
            <w:tcW w:w="6350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Численность населения (тыс. человек)</w:t>
            </w:r>
          </w:p>
        </w:tc>
      </w:tr>
      <w:tr w:rsidR="0098570C">
        <w:tc>
          <w:tcPr>
            <w:tcW w:w="3175" w:type="dxa"/>
          </w:tcPr>
          <w:p w:rsidR="0098570C" w:rsidRDefault="0098570C">
            <w:pPr>
              <w:pStyle w:val="ConsPlusNormal"/>
              <w:jc w:val="center"/>
            </w:pPr>
            <w:r>
              <w:t>2022 г. (исходный год)</w:t>
            </w:r>
          </w:p>
        </w:tc>
        <w:tc>
          <w:tcPr>
            <w:tcW w:w="3175" w:type="dxa"/>
          </w:tcPr>
          <w:p w:rsidR="0098570C" w:rsidRDefault="0098570C">
            <w:pPr>
              <w:pStyle w:val="ConsPlusNormal"/>
              <w:jc w:val="center"/>
            </w:pPr>
            <w:r>
              <w:t>2025 г. (расчетный срок)</w:t>
            </w:r>
          </w:p>
        </w:tc>
      </w:tr>
      <w:tr w:rsidR="0098570C">
        <w:tc>
          <w:tcPr>
            <w:tcW w:w="3175" w:type="dxa"/>
          </w:tcPr>
          <w:p w:rsidR="0098570C" w:rsidRDefault="0098570C">
            <w:pPr>
              <w:pStyle w:val="ConsPlusNormal"/>
              <w:jc w:val="center"/>
            </w:pPr>
            <w:r>
              <w:t>346 979</w:t>
            </w:r>
          </w:p>
        </w:tc>
        <w:tc>
          <w:tcPr>
            <w:tcW w:w="3175" w:type="dxa"/>
          </w:tcPr>
          <w:p w:rsidR="0098570C" w:rsidRDefault="0098570C">
            <w:pPr>
              <w:pStyle w:val="ConsPlusNormal"/>
              <w:jc w:val="center"/>
            </w:pPr>
            <w:r>
              <w:t>360 000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3. Возможные направления территориального развития городского округа "Город Архангельск" определяются на основании генерального плана городского округа "Город Архангельск" с учетом нормативно-технических и правовых актов в области градостроительства Архангельской области.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10. ЖИЛЫЕ, ОБЩЕСТВЕННО-ДЕЛОВЫЕ И РЕКРЕАЦИОННЫЕ ЗОНЫ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28. Общие требования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Жилые зоны формируются с учетом взаимоувязанного размещения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Объем жилищного фонда и его структура определяются на основе анализа фактических и прогнозных данных о семейном составе населения городского округа "Город Архангельск", уровнях его дохода, существующей и перспективной жилищной обеспеченности.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Объемы и структуру жилищного строительства рекомендуется дифференцировать по уровню комфорта в соответствии с действующим сводом правил "Градостроительство. Планировка и застройка городских и сельских поселений. Актуализированная редакция СНиП 2.07.01-89*" с учетом конкретных возможностей развития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4. Расчетные показатели минимальной обеспеченности общей площадью жилых помещений </w:t>
      </w:r>
      <w:r>
        <w:lastRenderedPageBreak/>
        <w:t>для индивидуальной застройки не нормируются.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29. Жилые зоны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Для размещения жилой зоны должны выбираться участки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3. При формировании жилой зоны должны выдерживаться принципы компактности планировочного образования, защищенности от неблагоприятных природных воздействий, сокращения </w:t>
      </w:r>
      <w:proofErr w:type="gramStart"/>
      <w:r>
        <w:t>радиусов доступности объектов системы обслуживания</w:t>
      </w:r>
      <w:proofErr w:type="gramEnd"/>
      <w:r>
        <w:t>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 планировочной организации жилой зоны следует предусматривать дифференциацию по типам застройки с учетом потребностей различных социальных групп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При определении соотношения типов нового жилищного строительства необходимо исходить из учета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Рекомендуется следующее распределение нового жилищного строительства по типам застройки: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1) застройка индивидуальными жилыми домами - 10%;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2) застройка малоэтажными жилыми домами - 20%;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среднеэтажная</w:t>
      </w:r>
      <w:proofErr w:type="spellEnd"/>
      <w:r>
        <w:t xml:space="preserve"> застройка - 30%;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4) многоэтажная застройка - 40%.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7. Жилые здания с квартирами на первых этажах следует располагать с отступом от красных линий.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8. Запрещается размещение жилых помещений в цокольных и подвальных этажах.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9. Предельно минимальные и (или) максимальные размеры земельного участка, в том числе площадь, устанавливаются правилами землепользования и застройки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Для территориальных зон индивидуальной жилой застройки следует принимать коэффициент использования территории земельного участка в соответствии с </w:t>
      </w:r>
      <w:hyperlink w:anchor="P881">
        <w:r>
          <w:rPr>
            <w:color w:val="0000FF"/>
          </w:rPr>
          <w:t>таблицей 22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r>
        <w:t>Таблица 21. Коэффициенты использования территории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38"/>
      </w:tblGrid>
      <w:tr w:rsidR="0098570C"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Тип жилых домов</w:t>
            </w:r>
          </w:p>
        </w:tc>
        <w:tc>
          <w:tcPr>
            <w:tcW w:w="4338" w:type="dxa"/>
          </w:tcPr>
          <w:p w:rsidR="0098570C" w:rsidRDefault="0098570C">
            <w:pPr>
              <w:pStyle w:val="ConsPlusNormal"/>
              <w:jc w:val="center"/>
            </w:pPr>
            <w:r>
              <w:t>Коэффициент использования территории (не более)</w:t>
            </w:r>
          </w:p>
        </w:tc>
      </w:tr>
      <w:tr w:rsidR="0098570C"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lastRenderedPageBreak/>
              <w:t>Усадебного типа</w:t>
            </w:r>
          </w:p>
        </w:tc>
        <w:tc>
          <w:tcPr>
            <w:tcW w:w="4338" w:type="dxa"/>
          </w:tcPr>
          <w:p w:rsidR="0098570C" w:rsidRDefault="0098570C">
            <w:pPr>
              <w:pStyle w:val="ConsPlusNormal"/>
              <w:jc w:val="center"/>
            </w:pPr>
            <w:r>
              <w:t>0,4</w:t>
            </w:r>
          </w:p>
        </w:tc>
      </w:tr>
      <w:tr w:rsidR="0098570C"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r>
              <w:t>Блокированного типа</w:t>
            </w:r>
          </w:p>
        </w:tc>
        <w:tc>
          <w:tcPr>
            <w:tcW w:w="4338" w:type="dxa"/>
          </w:tcPr>
          <w:p w:rsidR="0098570C" w:rsidRDefault="0098570C">
            <w:pPr>
              <w:pStyle w:val="ConsPlusNormal"/>
              <w:jc w:val="center"/>
            </w:pPr>
            <w:r>
              <w:t>0,8 - 1,6</w:t>
            </w:r>
          </w:p>
        </w:tc>
      </w:tr>
      <w:tr w:rsidR="0098570C">
        <w:tc>
          <w:tcPr>
            <w:tcW w:w="4706" w:type="dxa"/>
          </w:tcPr>
          <w:p w:rsidR="0098570C" w:rsidRDefault="0098570C">
            <w:pPr>
              <w:pStyle w:val="ConsPlusNormal"/>
              <w:jc w:val="center"/>
            </w:pPr>
            <w:proofErr w:type="gramStart"/>
            <w:r>
              <w:t>Многоквартирные</w:t>
            </w:r>
            <w:proofErr w:type="gramEnd"/>
            <w:r>
              <w:t xml:space="preserve"> (не выше 3 этажей)</w:t>
            </w:r>
          </w:p>
        </w:tc>
        <w:tc>
          <w:tcPr>
            <w:tcW w:w="4338" w:type="dxa"/>
          </w:tcPr>
          <w:p w:rsidR="0098570C" w:rsidRDefault="0098570C">
            <w:pPr>
              <w:pStyle w:val="ConsPlusNormal"/>
              <w:jc w:val="center"/>
            </w:pPr>
            <w:r>
              <w:t>0,8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10. Границы, размеры участков при многоквартирных жилых домах, находящихся в общей долевой собственности собственников помещений в многоквартирных домах, определяются документацией по планировке территории, соответствующей требованиям правовых актов Российской Федерации, Архангельской области, нормативных правовых актов городского округа "Город Архангельск" и настоящих нормативов.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11.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(расчетного количества стоянок для автомобилей, озеленения).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12. 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учетом демографического состава населения и нормируемых элементов.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Расчет площади нормируемых элементов дворовой территории осуществляется в соответствии с нормами, приведенными в </w:t>
      </w:r>
      <w:hyperlink w:anchor="P999">
        <w:r>
          <w:rPr>
            <w:color w:val="0000FF"/>
          </w:rPr>
          <w:t>таблице 23</w:t>
        </w:r>
      </w:hyperlink>
      <w:r>
        <w:t>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11" w:name="P881"/>
      <w:bookmarkEnd w:id="11"/>
      <w:r>
        <w:t>Таблица 22. Площади нормируемых элементов дворовой территории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410"/>
        <w:gridCol w:w="3260"/>
      </w:tblGrid>
      <w:tr w:rsidR="0098570C">
        <w:tc>
          <w:tcPr>
            <w:tcW w:w="3345" w:type="dxa"/>
          </w:tcPr>
          <w:p w:rsidR="0098570C" w:rsidRDefault="0098570C">
            <w:pPr>
              <w:pStyle w:val="ConsPlusNormal"/>
              <w:jc w:val="center"/>
            </w:pPr>
            <w:r>
              <w:t>Площадки</w:t>
            </w:r>
          </w:p>
        </w:tc>
        <w:tc>
          <w:tcPr>
            <w:tcW w:w="2410" w:type="dxa"/>
          </w:tcPr>
          <w:p w:rsidR="0098570C" w:rsidRDefault="0098570C">
            <w:pPr>
              <w:pStyle w:val="ConsPlusNormal"/>
              <w:jc w:val="center"/>
            </w:pPr>
            <w:r>
              <w:t>Удельные размеры площадок (кв. м/чел.)</w:t>
            </w:r>
          </w:p>
        </w:tc>
        <w:tc>
          <w:tcPr>
            <w:tcW w:w="3260" w:type="dxa"/>
          </w:tcPr>
          <w:p w:rsidR="0098570C" w:rsidRDefault="0098570C">
            <w:pPr>
              <w:pStyle w:val="ConsPlusNormal"/>
              <w:jc w:val="center"/>
            </w:pPr>
            <w:r>
              <w:t>Минимальное расстояние от площадок до окон жилых домов и общественных зданий (м)</w:t>
            </w:r>
          </w:p>
        </w:tc>
      </w:tr>
      <w:tr w:rsidR="0098570C">
        <w:tc>
          <w:tcPr>
            <w:tcW w:w="3345" w:type="dxa"/>
          </w:tcPr>
          <w:p w:rsidR="0098570C" w:rsidRDefault="0098570C">
            <w:pPr>
              <w:pStyle w:val="ConsPlusNormal"/>
              <w:jc w:val="center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2410" w:type="dxa"/>
          </w:tcPr>
          <w:p w:rsidR="0098570C" w:rsidRDefault="0098570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3260" w:type="dxa"/>
          </w:tcPr>
          <w:p w:rsidR="0098570C" w:rsidRDefault="0098570C">
            <w:pPr>
              <w:pStyle w:val="ConsPlusNormal"/>
              <w:jc w:val="center"/>
            </w:pPr>
            <w:r>
              <w:t>12</w:t>
            </w:r>
          </w:p>
        </w:tc>
      </w:tr>
      <w:tr w:rsidR="0098570C">
        <w:tc>
          <w:tcPr>
            <w:tcW w:w="3345" w:type="dxa"/>
          </w:tcPr>
          <w:p w:rsidR="0098570C" w:rsidRDefault="0098570C">
            <w:pPr>
              <w:pStyle w:val="ConsPlusNormal"/>
              <w:jc w:val="center"/>
            </w:pPr>
            <w:r>
              <w:t>для отдыха взрослого населения</w:t>
            </w:r>
          </w:p>
        </w:tc>
        <w:tc>
          <w:tcPr>
            <w:tcW w:w="2410" w:type="dxa"/>
          </w:tcPr>
          <w:p w:rsidR="0098570C" w:rsidRDefault="0098570C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3260" w:type="dxa"/>
          </w:tcPr>
          <w:p w:rsidR="0098570C" w:rsidRDefault="0098570C">
            <w:pPr>
              <w:pStyle w:val="ConsPlusNormal"/>
              <w:jc w:val="center"/>
            </w:pPr>
            <w:r>
              <w:t>10</w:t>
            </w:r>
          </w:p>
        </w:tc>
      </w:tr>
      <w:tr w:rsidR="0098570C">
        <w:tc>
          <w:tcPr>
            <w:tcW w:w="3345" w:type="dxa"/>
          </w:tcPr>
          <w:p w:rsidR="0098570C" w:rsidRDefault="0098570C">
            <w:pPr>
              <w:pStyle w:val="ConsPlusNormal"/>
              <w:jc w:val="center"/>
            </w:pPr>
            <w:r>
              <w:t>для занятий физкультурой</w:t>
            </w:r>
          </w:p>
        </w:tc>
        <w:tc>
          <w:tcPr>
            <w:tcW w:w="2410" w:type="dxa"/>
          </w:tcPr>
          <w:p w:rsidR="0098570C" w:rsidRDefault="0098570C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3260" w:type="dxa"/>
          </w:tcPr>
          <w:p w:rsidR="0098570C" w:rsidRDefault="0098570C">
            <w:pPr>
              <w:pStyle w:val="ConsPlusNormal"/>
              <w:jc w:val="center"/>
            </w:pPr>
            <w:r>
              <w:t>10 - 40</w:t>
            </w:r>
          </w:p>
        </w:tc>
      </w:tr>
      <w:tr w:rsidR="0098570C">
        <w:tc>
          <w:tcPr>
            <w:tcW w:w="3345" w:type="dxa"/>
          </w:tcPr>
          <w:p w:rsidR="0098570C" w:rsidRDefault="0098570C">
            <w:pPr>
              <w:pStyle w:val="ConsPlusNormal"/>
              <w:jc w:val="center"/>
            </w:pPr>
            <w:r>
              <w:t>для хозяйственных целей</w:t>
            </w:r>
          </w:p>
        </w:tc>
        <w:tc>
          <w:tcPr>
            <w:tcW w:w="2410" w:type="dxa"/>
          </w:tcPr>
          <w:p w:rsidR="0098570C" w:rsidRDefault="0098570C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3260" w:type="dxa"/>
          </w:tcPr>
          <w:p w:rsidR="0098570C" w:rsidRDefault="0098570C">
            <w:pPr>
              <w:pStyle w:val="ConsPlusNormal"/>
              <w:jc w:val="center"/>
            </w:pPr>
            <w:r>
              <w:t>20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13. При размещении многоквартирных жилых домов необходимо предусматривать размещение расчетного количества мест временных парковок в границах земельного участка многоквартирного дома в соответствии с правилами землепользования и застройки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14.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15%.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30. Общественно-деловые зоны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</w:t>
      </w:r>
      <w:r>
        <w:lastRenderedPageBreak/>
        <w:t>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на территориях, прилегающих к магистральным улицам, общественно-транспортным узлам и другим объектам массового посещения.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3. Формирование общественно-деловых зон на территориях, в границах которых расположены объекты культурного наследия (памятники истории и культуры), производится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Структура и типология общественных центров и объектов общественно-деловой зоны в историческом центре города определяются проектом планировки территории.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При проектировании учреждений и предприятий обслуживания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5. При подготовке генерального плана городского округа "Город Архангельск" размещение основных видов социально значимых объектов следует проектировать в соответствии с расчетными показателями основной части настоящих нормативов.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При размещении учреждений минимальная обеспеченность учреждениями и площадь их земельных участков принимается в соответствии с расчетными показателями основной части настоящих нормативов.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31. Зоны рекреационного назначения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gramStart"/>
      <w:r>
        <w:t>Рекреационные зоны включают в себя территории, занятые городскими лесами, скверами, парками, городскими садами, бульварами, озерами, набережными, пляжами, а также иные территории, используемые и предназначенные для отдыха, туризма, занятий физической культурой и спортом.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учебно-туристические тропы, трассы и другие аналогичные объекты.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На землях рекреационного назначения запрещается деятельность, не соответствующая их целевому назначению.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Суммарная площадь общегородских озелененных территорий общего пользования для городского округа "Город Архангельск" должна составлять не менее 16 кв. м/чел.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5. Зоны массового кратковременного отдыха следует располагать в пределах доступности на общественном транспорте не более 1 ч.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7. 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</w:t>
      </w:r>
      <w:r>
        <w:lastRenderedPageBreak/>
        <w:t>площадки), а также с обслуживанием зон отдыха (загородные кафе, рестораны, центры развлечения, пункты проката).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8. Зоны размещения физкультурно-спортивных объектов проектируются на территории зон жилой застройки, общественно-деловых зон и рекреационных зон.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9.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10. Радиус обслуживания физкультурно-спортивными сооружениями населения жилого района, микрорайона (квартала) составляет 1500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Радиус обслуживания физкультурно-спортивными сооружениями городского значения не должен превышать 30 минут транспортной доступности.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32. Реконструкция застроенных территорий в городском округе "Город Архангельск"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 жилых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Реконструкция застройки в границах элементов планировочной структуры (кварталов, микрорайонов) или их частей является комплексной; реконструкция застройки в пределах земельного участка является локальной (выборочной).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11. ПРОИЗВОДСТВЕННЫЕ И ИНЫЕ ЗОНЫ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33. Общие требования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gramStart"/>
      <w: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2. Границы производственных зон определяются на основании зонирования территории города и устанавливаются с учетом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34. Производственные зоны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Производственные зоны, промышленные узлы, предприятия (далее - производственная </w:t>
      </w:r>
      <w:r>
        <w:lastRenderedPageBreak/>
        <w:t>зона) и связанные с ними отвалы, отходы, очистные сооружения следует размещать на землях с низкой кадастровой стоимостью.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Устройство отвалов, </w:t>
      </w:r>
      <w:proofErr w:type="spellStart"/>
      <w:r>
        <w:t>шламонакопителей</w:t>
      </w:r>
      <w:proofErr w:type="spellEnd"/>
      <w:r>
        <w:t>, ме</w:t>
      </w:r>
      <w:proofErr w:type="gramStart"/>
      <w:r>
        <w:t>ст скл</w:t>
      </w:r>
      <w:proofErr w:type="gramEnd"/>
      <w:r>
        <w:t>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(групповые) отвалы, места складирования с соблюдением санитарных норм.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Промышленные предприятия следует размещать на территории производственной зоны в составе групп предприятий (промышленных узлов) с общими вспомогательными производствами или объектами инфраструктуры.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воздействиям на гидротехнические сооружения.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5.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>
        <w:t>количества</w:t>
      </w:r>
      <w:proofErr w:type="gramEnd"/>
      <w: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1) для предприятий I класса - 1000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2) для предприятий II класса - 500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3) для предприятий III класса - 300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4) для предприятий IV класса - 100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5) для предприятий V класса - 50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Размеры санитарно-защитных зон установлены в соответствии с требованиями </w:t>
      </w:r>
      <w:hyperlink r:id="rId19">
        <w:r>
          <w:rPr>
            <w:color w:val="0000FF"/>
          </w:rPr>
          <w:t>СанПиН 2.2.1/2.1.1.1200-03</w:t>
        </w:r>
      </w:hyperlink>
      <w:r>
        <w:t xml:space="preserve"> "Санитарно-защитные зоны и санитарная классификация предприятий, сооружений и иных объектов" (далее - СанПиН 2.2.1/2.1.1.1200-03).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пределах жилой территории города допускается размещать производственные предприятия, не выделяющие вредные вещества, с </w:t>
      </w:r>
      <w:proofErr w:type="spellStart"/>
      <w:r>
        <w:t>непожароопасными</w:t>
      </w:r>
      <w:proofErr w:type="spellEnd"/>
      <w:r>
        <w:t xml:space="preserve"> и невзрывоопасными производственными процессами, не создающие шум, превышающий установленные нормы, не требующие устройства железнодорожных подъездных путей и подъезда грузового автотранспорта более 50 автомобилей в сутки, с установлением санитарно-защитных зон в соответствии с требованиями </w:t>
      </w:r>
      <w:hyperlink r:id="rId20">
        <w:r>
          <w:rPr>
            <w:color w:val="0000FF"/>
          </w:rPr>
          <w:t>СанПиН 2.2.1/2.1.1.1200-03</w:t>
        </w:r>
      </w:hyperlink>
      <w:r>
        <w:t xml:space="preserve"> и настоящих нормативов.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7. При проектировании коммунальных зон условия безопасности по нормируемым санитарно-гигиеническим и противопожарным требованиям, нормативы инженерной и транспортной инфраструктуры, благоустройство и озеленение территории следует принимать в соответствии с требованиями, установленными для производственных зон.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35. Зоны инженерной инфраструктуры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>
        <w:t>о-</w:t>
      </w:r>
      <w:proofErr w:type="gramEnd"/>
      <w:r>
        <w:t xml:space="preserve"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</w:t>
      </w:r>
      <w:r>
        <w:lastRenderedPageBreak/>
        <w:t>сооружений и коммуникаций.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 застройку и рекреационные зоны в соответствии с требованиями действующего законодательства и настоящих нормативов.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утвержденных в установленном законом порядке.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градостроительной документацией.</w:t>
      </w:r>
      <w:proofErr w:type="gramEnd"/>
    </w:p>
    <w:p w:rsidR="0098570C" w:rsidRDefault="0098570C">
      <w:pPr>
        <w:pStyle w:val="ConsPlusNormal"/>
        <w:spacing w:before="220"/>
        <w:ind w:firstLine="540"/>
        <w:jc w:val="both"/>
      </w:pPr>
      <w:r>
        <w:t>5. Для производственного водоснабжения промышленных предприятий следует рассматривать возможность устройства систем оборотного водоснабжения.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6. При отсутствии централизованной системы канализации по согласованию с Управлением </w:t>
      </w:r>
      <w:proofErr w:type="spellStart"/>
      <w:r>
        <w:t>Роспотребнадзора</w:t>
      </w:r>
      <w:proofErr w:type="spellEnd"/>
      <w:r>
        <w:t xml:space="preserve"> по Архангельской области следует предусматривать септик. Размеры земельных участков, отводимых под септики, следует принимать в соответствии с требованиями СП 32.13330.2012 и </w:t>
      </w:r>
      <w:hyperlink r:id="rId21">
        <w:r>
          <w:rPr>
            <w:color w:val="0000FF"/>
          </w:rPr>
          <w:t>СанПиН 2.2.1/2.1.1.1200-03</w:t>
        </w:r>
      </w:hyperlink>
      <w:r>
        <w:t>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7. Для регулирования стока дождевых вод следует проектировать пруды или резервуары, а также использовать существующие пруды, не являющиеся источниками питьевого водоснабжения.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36. Зоны транспортной инфраструктуры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Сооружения и коммуникации транспортной инфраструктуры могут располагаться в составе всех территориальных зон.</w:t>
      </w:r>
    </w:p>
    <w:p w:rsidR="0098570C" w:rsidRDefault="0098570C">
      <w:pPr>
        <w:pStyle w:val="ConsPlusNormal"/>
        <w:spacing w:before="220"/>
        <w:ind w:firstLine="540"/>
        <w:jc w:val="both"/>
      </w:pPr>
      <w:proofErr w:type="gramStart"/>
      <w:r>
        <w:t>При подготовке генерального плана городского округа "Город Архангельск" 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городского округа "Город Архангельск" и прилегающей к нему территории, обеспечивающую удобные, быстрые и безопасные транспортные связи с другими муниципальными образованиями в соответствии со схемой территориального планирования Архангельской области, объектами внешнего транспорта и автомобильными дорогами</w:t>
      </w:r>
      <w:proofErr w:type="gramEnd"/>
      <w:r>
        <w:t xml:space="preserve"> общей улично-дорожной сети.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В целях устойчивого развития территории городского округа "Город Архангельск" необходимо создание развитой транспортной инфраструктуры, обеспечивающей необходимую плотность внутренних и внешних транспортных связей.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5. Рекомендуемые нормы расчета </w:t>
      </w:r>
      <w:proofErr w:type="spellStart"/>
      <w:r>
        <w:t>приобъектных</w:t>
      </w:r>
      <w:proofErr w:type="spellEnd"/>
      <w:r>
        <w:t xml:space="preserve"> стоянок автомобилей приведены в основной части настоящих нормативов.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 xml:space="preserve">Статья 37. Требования и рекомендации по установлению красных линий и линий </w:t>
      </w:r>
      <w:r>
        <w:lastRenderedPageBreak/>
        <w:t>отступа от красных линий в целях определения места допустимого размещения зданий, строений, сооружений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Красные линии устанавливаются с учетом: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ширины улиц и дорог, которые определяются расчетом в зависимости от интенсивности движения транспорта и пешеходов;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насаждений);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санитарно-гигиенических требований и требований гражданской обороны.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1) объектов транспортной инфраструктуры (временные парковки легкового транспорта, 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2) отдельных нестационарных объектов для попутного обслуживания пешеходов (мелкорозничная торговля и бытовое обслуживание).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Линии регулирования застройки - линии, определяющие места допустимого размещения зданий, строений, сооружений. Указанные линии устанавливаются с учетом сложившегося использования земельных участков и территорий санитарно-защитных и охранных зон.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5. Жилые здания с квартирами на первых этажах следует располагать с отступом от красных линий: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1) от многоквартирных многоэтажных (от 9 этажей и выше) и </w:t>
      </w:r>
      <w:proofErr w:type="spellStart"/>
      <w:r>
        <w:t>среднеэтажных</w:t>
      </w:r>
      <w:proofErr w:type="spellEnd"/>
      <w:r>
        <w:t xml:space="preserve"> (до 8 этажей) жилых домов до красных линий - не менее 3 м при условии обеспечения противопожарной защиты;</w:t>
      </w:r>
    </w:p>
    <w:p w:rsidR="0098570C" w:rsidRDefault="0098570C">
      <w:pPr>
        <w:pStyle w:val="ConsPlusNormal"/>
        <w:spacing w:before="220"/>
        <w:ind w:firstLine="540"/>
        <w:jc w:val="both"/>
      </w:pPr>
      <w:proofErr w:type="gramStart"/>
      <w:r>
        <w:t>2) от индивидуальных домов, домов блокированного типа до красных линий улиц - не менее 5 м, от красной линии проездов - не менее 3 м, расстояние от хозяйственных построек до красных линий улиц и проездов - не менее 5 м. Садовый дом должен отстоять от красной линии проездов не менее чем на 3 м. При этом между домами, расположенными на противоположных сторонах проезда</w:t>
      </w:r>
      <w:proofErr w:type="gramEnd"/>
      <w:r>
        <w:t>, должны быть учтены противопожарные расстояния;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3) от зданий и сооружений в промышленных зонах - не менее 3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Указанные расстояния измеряются от наружной стены здания в уровне цоколя. Декоративные элементы, а также лестницы, приборы освещения, камеры слежения, выступающие за плоскость фасада не более 0,6 метра, не учитываются.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7. В районах усадебной </w:t>
      </w:r>
      <w:proofErr w:type="gramStart"/>
      <w:r>
        <w:t>застройки жилые дома</w:t>
      </w:r>
      <w:proofErr w:type="gramEnd"/>
      <w:r>
        <w:t xml:space="preserve"> могут размещаться по красной линии улиц в жилой застройке, если это предусмотрено градостроительной документацией.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8.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показателей, приведенных в таблице 25.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  <w:bookmarkStart w:id="12" w:name="P999"/>
      <w:bookmarkEnd w:id="12"/>
      <w:r>
        <w:t>Таблица 23. Минимальные расстояния от стен зданий и границ земельных участков учреждений и предприятий обслуживания до красных линий</w:t>
      </w:r>
    </w:p>
    <w:p w:rsidR="0098570C" w:rsidRDefault="009857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87"/>
        <w:gridCol w:w="1134"/>
        <w:gridCol w:w="2721"/>
      </w:tblGrid>
      <w:tr w:rsidR="0098570C">
        <w:tc>
          <w:tcPr>
            <w:tcW w:w="3572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Здания (земельные участки) учреждений и предприятий обслуживания</w:t>
            </w:r>
          </w:p>
        </w:tc>
        <w:tc>
          <w:tcPr>
            <w:tcW w:w="5442" w:type="dxa"/>
            <w:gridSpan w:val="3"/>
          </w:tcPr>
          <w:p w:rsidR="0098570C" w:rsidRDefault="0098570C">
            <w:pPr>
              <w:pStyle w:val="ConsPlusNormal"/>
              <w:jc w:val="center"/>
            </w:pPr>
            <w:r>
              <w:t>Минимальные расстояния (м)</w:t>
            </w:r>
          </w:p>
        </w:tc>
      </w:tr>
      <w:tr w:rsidR="0098570C">
        <w:tc>
          <w:tcPr>
            <w:tcW w:w="3572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до красной линии</w:t>
            </w:r>
          </w:p>
        </w:tc>
        <w:tc>
          <w:tcPr>
            <w:tcW w:w="1134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до стен жилых домов</w:t>
            </w:r>
          </w:p>
        </w:tc>
        <w:tc>
          <w:tcPr>
            <w:tcW w:w="2721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до зданий общеобразовательных школ, детских дошкольных и лечебных учреждений</w:t>
            </w:r>
          </w:p>
        </w:tc>
      </w:tr>
      <w:tr w:rsidR="0098570C">
        <w:tc>
          <w:tcPr>
            <w:tcW w:w="3572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городской населенный пункт</w:t>
            </w:r>
          </w:p>
        </w:tc>
        <w:tc>
          <w:tcPr>
            <w:tcW w:w="1134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2721" w:type="dxa"/>
            <w:vMerge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Детские дошкольные учреждения и общеобразовательные школы (от стены здания)</w:t>
            </w: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855" w:type="dxa"/>
            <w:gridSpan w:val="2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в соответствии с техническими регламентами</w:t>
            </w:r>
          </w:p>
        </w:tc>
      </w:tr>
      <w:tr w:rsidR="0098570C">
        <w:tc>
          <w:tcPr>
            <w:tcW w:w="5159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Учреждения здравоохранения:</w:t>
            </w:r>
          </w:p>
        </w:tc>
        <w:tc>
          <w:tcPr>
            <w:tcW w:w="3855" w:type="dxa"/>
            <w:gridSpan w:val="2"/>
            <w:vMerge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больничные корпуса</w:t>
            </w: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  <w:gridSpan w:val="2"/>
            <w:vMerge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поликлиники</w:t>
            </w: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gridSpan w:val="2"/>
            <w:vMerge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Пожарные депо</w:t>
            </w:r>
          </w:p>
        </w:tc>
        <w:tc>
          <w:tcPr>
            <w:tcW w:w="1587" w:type="dxa"/>
          </w:tcPr>
          <w:p w:rsidR="0098570C" w:rsidRDefault="009857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gridSpan w:val="2"/>
          </w:tcPr>
          <w:p w:rsidR="0098570C" w:rsidRDefault="0098570C">
            <w:pPr>
              <w:pStyle w:val="ConsPlusNormal"/>
            </w:pP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Приемные пункты вторичного сырья</w:t>
            </w:r>
          </w:p>
        </w:tc>
        <w:tc>
          <w:tcPr>
            <w:tcW w:w="1587" w:type="dxa"/>
          </w:tcPr>
          <w:p w:rsidR="0098570C" w:rsidRDefault="0098570C">
            <w:pPr>
              <w:pStyle w:val="ConsPlusNormal"/>
            </w:pPr>
          </w:p>
        </w:tc>
        <w:tc>
          <w:tcPr>
            <w:tcW w:w="1134" w:type="dxa"/>
          </w:tcPr>
          <w:p w:rsidR="0098570C" w:rsidRDefault="0098570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721" w:type="dxa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:rsidR="0098570C" w:rsidRDefault="009857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при площади до 40 га - 300</w:t>
            </w:r>
          </w:p>
        </w:tc>
      </w:tr>
      <w:tr w:rsidR="0098570C">
        <w:tc>
          <w:tcPr>
            <w:tcW w:w="3572" w:type="dxa"/>
          </w:tcPr>
          <w:p w:rsidR="0098570C" w:rsidRDefault="0098570C">
            <w:pPr>
              <w:pStyle w:val="ConsPlusNormal"/>
              <w:jc w:val="center"/>
            </w:pPr>
            <w: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:rsidR="0098570C" w:rsidRDefault="0098570C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98570C" w:rsidRDefault="0098570C">
            <w:pPr>
              <w:pStyle w:val="ConsPlusNormal"/>
              <w:jc w:val="center"/>
            </w:pPr>
            <w:r>
              <w:t>50</w:t>
            </w:r>
          </w:p>
        </w:tc>
      </w:tr>
    </w:tbl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12. ЗОНЫ ОСОБО ОХРАНЯЕМЫХ ТЕРРИТОРИЙ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38. Особо охраняемые природные территории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При разработке генерального плана и документации по планировке территории городского округа "Город Архангельск" учитываются все особо охраняемые природные территории, земли природоохранного, рекреационного, историко-культурного назначения и особо ценные земли на территории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3. 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правовых актов Архангельской области.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39. Охрана объектов культурного наследия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Категории земель историко-культурного назначения и режимы их использования определяются в соответствии с Земельным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законодательства, правовых актов Архангельской области и нормативных правовых актов городского округа "Город Архангельск".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При подготовке генерального плана городского округа "Город Архангельск" и документации по планировке территории городского округа "Город Архангельск" 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Расстояния от объектов культурного наследия до транспортных и инженерных коммуникаций следует принимать: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до сетей водопровода, канализации и теплоснабжения (кроме разводящих) - не менее 10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до других подземных инженерных сетей - не менее 5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В условиях реконструкции указанные расстояния до инженерных сетей допускается сокращать, но принимать: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до </w:t>
      </w:r>
      <w:proofErr w:type="spellStart"/>
      <w:r>
        <w:t>водонесущих</w:t>
      </w:r>
      <w:proofErr w:type="spellEnd"/>
      <w:r>
        <w:t xml:space="preserve"> сетей - не менее 5 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до </w:t>
      </w:r>
      <w:proofErr w:type="spellStart"/>
      <w:r>
        <w:t>неводонесущих</w:t>
      </w:r>
      <w:proofErr w:type="spellEnd"/>
      <w:r>
        <w:t xml:space="preserve"> сетей - не менее 2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40. Зоны специального назначения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В состав зон специального назначения городского округа "Город Архангельск" 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>
        <w:t>количества</w:t>
      </w:r>
      <w:proofErr w:type="gramEnd"/>
      <w:r>
        <w:t xml:space="preserve"> выделяемых в окружающую среду загрязняющих веществ и других вредных физических факторов в соответствии с санитарной классификацией устанавливаются санитарно-защитные зоны.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3. 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</w:t>
      </w:r>
      <w:hyperlink r:id="rId23">
        <w:r>
          <w:rPr>
            <w:color w:val="0000FF"/>
          </w:rPr>
          <w:t>СанПиН 2.1.2882-11</w:t>
        </w:r>
      </w:hyperlink>
      <w:r>
        <w:t xml:space="preserve"> "Гигиенические требования к размещению, устройству и содержанию кладбищ, зданий и сооружений похоронного назначения", </w:t>
      </w:r>
      <w:hyperlink r:id="rId24">
        <w:r>
          <w:rPr>
            <w:color w:val="0000FF"/>
          </w:rPr>
          <w:t>СанПиН 2.2.1/2.1.1.1200-03</w:t>
        </w:r>
      </w:hyperlink>
      <w:r>
        <w:t xml:space="preserve"> и настоящих нормативов.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4. Размер земельного участка для кладбища определяется с учетом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5. Не допускается осуществлять новые погребения </w:t>
      </w:r>
      <w:proofErr w:type="spellStart"/>
      <w:r>
        <w:t>некремированных</w:t>
      </w:r>
      <w:proofErr w:type="spellEnd"/>
      <w:r>
        <w:t xml:space="preserve"> останков на сохраняемых в застройке, реконструируемых, реставрируемых кладбищах в случаях отсутствия вокруг них санитарно-защитных зон. Санитарно-защитная зона планируемого к размещению кладбища должна быть не менее 300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6. Полигоны твердых бытовых отходов являются специальными сооружениями, предназначенными для изоляции и обезвреживания твердых бытовых отходов; они должны гарантировать санитарно-эпидемиологическую безопасность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7. Для сбора, хранения и утилизации снежно-ледяных отложений с территории городского округа "Город Архангельск", в том числе загрязненного снега с дорог, искусственных сооружений (мостов, эстакад, путепроводов), следует предусматривать специализированные сооружения - </w:t>
      </w:r>
      <w:proofErr w:type="spellStart"/>
      <w:r>
        <w:t>снегоприемные</w:t>
      </w:r>
      <w:proofErr w:type="spellEnd"/>
      <w:r>
        <w:t xml:space="preserve"> пункты. </w:t>
      </w:r>
      <w:proofErr w:type="spellStart"/>
      <w:r>
        <w:t>Снегоприемные</w:t>
      </w:r>
      <w:proofErr w:type="spellEnd"/>
      <w:r>
        <w:t xml:space="preserve"> пункты могут быть в виде "сухих" снежных свалок и </w:t>
      </w:r>
      <w:proofErr w:type="spellStart"/>
      <w:r>
        <w:t>снегоплавильных</w:t>
      </w:r>
      <w:proofErr w:type="spellEnd"/>
      <w:r>
        <w:t xml:space="preserve"> шахт, подключенных к системе канализации.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8. Допускается использование территории </w:t>
      </w:r>
      <w:proofErr w:type="spellStart"/>
      <w:r>
        <w:t>снегосвалки</w:t>
      </w:r>
      <w:proofErr w:type="spellEnd"/>
      <w:r>
        <w:t xml:space="preserve"> в летнее время для организации стоянки автотранспорта и иных целей.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13. ОХРАНА ОКРУЖАЮЩЕЙ СРЕДЫ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41. Рациональное использование природных ресурсов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Изъятие под застройку земель лесного фонда допускается в исключительных случаях в соответствии с требованиями Земельного и Лесного кодексов Российской Федерации, федерального законодательства.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</w:t>
      </w:r>
      <w:hyperlink r:id="rId25">
        <w:r>
          <w:rPr>
            <w:color w:val="0000FF"/>
          </w:rPr>
          <w:t>СанПиН 2.2.1/2.1.1.1200-03</w:t>
        </w:r>
      </w:hyperlink>
      <w:r>
        <w:t xml:space="preserve"> и настоящих нормативов.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42. Охрана атмосферного воздуха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</w:t>
      </w:r>
      <w:proofErr w:type="gramStart"/>
      <w:r>
        <w:t>При проектировании застройки, оказывающей негативное воздействие на окружающую среду, должна быть произведена оценка состояния и разработан прогноз изменения качества атмосферного воздуха путем расчета уровня загрязнения атмосферы от всех источников загрязнения (промышленных, транспортных и других), принимая во внимание аэроклиматические и геоморфологические условия, ожидаемые загрязнения атмосферного воздуха с учетом существующих и планируемых объектов, предельно допустимые концентрации или ориентировочные безопасные уровни воздействия для</w:t>
      </w:r>
      <w:proofErr w:type="gramEnd"/>
      <w:r>
        <w:t xml:space="preserve"> каждого из загрязняющих веществ;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Предельно допустимые концентрации вредных веществ в атмосферном воздухе на территории города принимаются в соответствии с требованиями </w:t>
      </w:r>
      <w:hyperlink r:id="rId26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мест", </w:t>
      </w:r>
      <w:hyperlink r:id="rId27">
        <w:r>
          <w:rPr>
            <w:color w:val="0000FF"/>
          </w:rPr>
          <w:t>ГН 2.1.6.2309-07</w:t>
        </w:r>
      </w:hyperlink>
      <w:r>
        <w:t xml:space="preserve"> "Атмосферный воздух и воздух закрытых помещений, санитарная охрана воздуха".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3. Жилые зоны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43. Охрана водных объектов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Качество воды водных объектов, используемых для хозяйственно-питьевого водоснабжения, рекреационного водопользования и расположенных в границах городского округа "Город Архангельск", должно соответствовать санитарным и гигиеническим нормативам.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В целях поддержания благоприятного гидрологического режима, улучшения санитарного состояния, рационального использования водных ресурсов рек и озер устанавливаются </w:t>
      </w:r>
      <w:proofErr w:type="spellStart"/>
      <w:r>
        <w:t>водоохранные</w:t>
      </w:r>
      <w:proofErr w:type="spellEnd"/>
      <w:r>
        <w:t xml:space="preserve"> зоны и прибрежные защитные полосы. Регламент </w:t>
      </w:r>
      <w:proofErr w:type="spellStart"/>
      <w:r>
        <w:t>водоохранных</w:t>
      </w:r>
      <w:proofErr w:type="spellEnd"/>
      <w:r>
        <w:t xml:space="preserve"> зон, прибрежных защитных полос устанавливается в соответствии с Водным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44. Охрана почв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Требования по охране почв предъявляются к жилым, рекреационным зонам, зонам санитарной охраны водоемов и водотоков, территориям сельскохозяйственного назначения и другим территориям, где возможно влияние загрязненных почв на здоровье человека и условия проживания.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Мероприятия по охране почв предусматривают введение специальных режимов их использования, изменение целевого назначения и рекультивацию почв.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45. Защита от шума и вибрации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Планировку и застройку жилых зон города следует осуществлять с учетом обеспечения допустимых уровней шума. Меры по защите от акустического загрязнения следует предусматривать на всех стадиях проектирования в соответствии с требованиями </w:t>
      </w:r>
      <w:hyperlink r:id="rId29">
        <w:r>
          <w:rPr>
            <w:color w:val="0000FF"/>
          </w:rPr>
          <w:t>СН 2.2.4/2.1.8.562-96</w:t>
        </w:r>
      </w:hyperlink>
      <w:r>
        <w:t xml:space="preserve"> "Шум на рабочих местах, в помещениях жилых, общественных зданий и на территории жилой застройки".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Территории нового строительства и реконструкции должны оцениваться с учетом параметров вибрации.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14. ИНЖЕНЕРНАЯ ПОДГОТОВКА И ЗАЩИТА ТЕРРИТОРИИ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46. Общие требования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Принятие градостроительных решений должно основываться на результатах анализа инженерно-геологической обстановки. Необходимо обеспечивать соблюдение расчетного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 xml:space="preserve">2. При планировке и </w:t>
      </w:r>
      <w:proofErr w:type="gramStart"/>
      <w:r>
        <w:t>застройке города</w:t>
      </w:r>
      <w:proofErr w:type="gramEnd"/>
      <w:r>
        <w:t xml:space="preserve">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:rsidR="0098570C" w:rsidRDefault="0098570C">
      <w:pPr>
        <w:pStyle w:val="ConsPlusNormal"/>
        <w:spacing w:before="220"/>
        <w:jc w:val="both"/>
      </w:pPr>
      <w:r>
        <w:t>3. Сооружения и мероприятия по защите от опасных геологических процессов должны выполняться в соответствии с требованиями СП 116.13330.2012 "Инженерная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47. Сооружения и мероприятия для защиты от подтопления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</w:t>
      </w:r>
      <w:r>
        <w:lastRenderedPageBreak/>
        <w:t>территорий.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Защита от подтопления должна включать: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1) защиту населения от опасных явлений, связанных с пропуском паводковых вод в весенне-осенний период, при половодье;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2) локальную защиту зданий, сооружений, грунтов оснований и защиту застроенной территории в целом;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3) водоотведение;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4) утилизацию (при необходимости очистки) дренажных вод.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генеральным планом городского округа "Город Архангельск" и документацией по планировке территории.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15. РАЗМЕЩЕНИЕ ИНЖЕНЕРНЫХ СЕТЕЙ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48. Зоны инженерной инфраструктуры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Инженерные сети следует размещать преимущественно в пределах поперечных профилей улиц и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диспетчеризации).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допускается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каналах; при технической необходимости допускается прокладка газопровода под проезжими частями улиц.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16. ТРЕБОВАНИЯ ПО ОБЕСПЕЧЕНИЮ ЗАЩИТЫ НАСЕЛЕНИЯ</w:t>
      </w:r>
    </w:p>
    <w:p w:rsidR="0098570C" w:rsidRDefault="0098570C">
      <w:pPr>
        <w:pStyle w:val="ConsPlusTitle"/>
        <w:jc w:val="center"/>
      </w:pPr>
      <w:r>
        <w:t>И ТЕРРИТОРИЙ ОТ ВОЗДЕЙСТВИЯ ЧРЕЗВЫЧАЙНЫХ СИТУАЦИЙ ПРИРОДНОГО</w:t>
      </w:r>
    </w:p>
    <w:p w:rsidR="0098570C" w:rsidRDefault="0098570C">
      <w:pPr>
        <w:pStyle w:val="ConsPlusTitle"/>
        <w:jc w:val="center"/>
      </w:pPr>
      <w:r>
        <w:t>И ТЕХНОГЕННОГО ХАРАКТЕРА И ТРЕБОВАНИЯ К МЕРОПРИЯТИЯМ</w:t>
      </w:r>
    </w:p>
    <w:p w:rsidR="0098570C" w:rsidRDefault="0098570C">
      <w:pPr>
        <w:pStyle w:val="ConsPlusTitle"/>
        <w:jc w:val="center"/>
      </w:pPr>
      <w:r>
        <w:t>ПО ГРАЖДАНСКОЙ ОБОРОНЕ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49. Инженерно-технические мероприятия гражданской обороны и предупреждения чрезвычайных ситуаций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 xml:space="preserve">1. Инженерно-технические мероприятия гражданской обороны и предупреждения чрезвычайных ситуаций должны учитываться </w:t>
      </w:r>
      <w:proofErr w:type="gramStart"/>
      <w:r>
        <w:t>при</w:t>
      </w:r>
      <w:proofErr w:type="gramEnd"/>
      <w:r>
        <w:t>: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1) подготовке генерального плана городского округа "Город Архангельск";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2) разработке документации по планировке территории (проектов планировки, проектов межевания территории);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3) разработке материалов, обосновывающих строительство (технико-экономического обоснования, технико-экономических расчетов), а также проектной документации на строительство и реконструкцию объектов капитального строительства.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lastRenderedPageBreak/>
        <w:t>2.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3. К рекам и водоемам, которые могут быть использованы для целей пожаротушения, следует устраивать подъезды для забора воды с площадками размером не менее 12 м x 12 м.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объектов, расположенных в радиусе не более 200 м от водоема.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 разработке генерального плана городского округа "Город Архангельск", а также документации по планировке территории городского округа "Город Архангельск" необходимо резервировать территорию под размещение пожарных депо с учетом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4. Размещение пожарных депо следует осуществлять в соответствии с действующим законодательством.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jc w:val="center"/>
        <w:outlineLvl w:val="2"/>
      </w:pPr>
      <w:r>
        <w:t>Глава 17. ОБЕСПЕЧЕНИЕ ДОСТУПНОСТИ ЖИЛЫХ ОБЪЕКТОВ, ОБЪЕКТОВ</w:t>
      </w:r>
    </w:p>
    <w:p w:rsidR="0098570C" w:rsidRDefault="0098570C">
      <w:pPr>
        <w:pStyle w:val="ConsPlusTitle"/>
        <w:jc w:val="center"/>
      </w:pPr>
      <w:r>
        <w:t>СОЦИАЛЬНОЙ ИНФРАСТРУКТУРЫ ДЛЯ ИНВАЛИДОВ И МАЛОМОБИЛЬНЫХ</w:t>
      </w:r>
    </w:p>
    <w:p w:rsidR="0098570C" w:rsidRDefault="0098570C">
      <w:pPr>
        <w:pStyle w:val="ConsPlusTitle"/>
        <w:jc w:val="center"/>
      </w:pPr>
      <w:r>
        <w:t>ГРУПП НАСЕЛЕНИЯ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Title"/>
        <w:ind w:firstLine="540"/>
        <w:jc w:val="both"/>
        <w:outlineLvl w:val="3"/>
      </w:pPr>
      <w:r>
        <w:t>Статья 50. Основные положения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ind w:firstLine="540"/>
        <w:jc w:val="both"/>
      </w:pPr>
      <w:r>
        <w:t>1. При планировке и застройке городского округа "Город Архангельск" 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 требованиями СП 59.13330.2012, СП 35-101-2001, СП 35-102-2001, СП 31-102-99, СП 35-103-2001, ВСН 62-91*, РДС 35-201-99.</w:t>
      </w:r>
    </w:p>
    <w:p w:rsidR="0098570C" w:rsidRDefault="0098570C">
      <w:pPr>
        <w:pStyle w:val="ConsPlusNormal"/>
        <w:spacing w:before="220"/>
        <w:ind w:firstLine="540"/>
        <w:jc w:val="both"/>
      </w:pPr>
      <w:r>
        <w:t>2. Перечень объектов, доступных для инвалидов и других маломобильных групп населения, расчетное число и категория инвалидов, а также группа мобильности групп населения устанавливаются заданием на проектирование.</w:t>
      </w: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jc w:val="both"/>
      </w:pPr>
    </w:p>
    <w:p w:rsidR="0098570C" w:rsidRDefault="009857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667" w:rsidRDefault="00C17667"/>
    <w:sectPr w:rsidR="00C1766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0C"/>
    <w:rsid w:val="00292950"/>
    <w:rsid w:val="00612B89"/>
    <w:rsid w:val="0098570C"/>
    <w:rsid w:val="00AB31E5"/>
    <w:rsid w:val="00C17667"/>
    <w:rsid w:val="00ED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570C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Normal">
    <w:name w:val="ConsPlusNormal"/>
    <w:rsid w:val="0098570C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570C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Normal">
    <w:name w:val="ConsPlusNormal"/>
    <w:rsid w:val="0098570C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286986725DDE106BDB152BE5F7BF885FFFD6E34B6CD869E003CB1C9BB3E790CE952F30FCF3748DBA2EBBEC0BA2CABF1F879A1E234549E0852033363F1G" TargetMode="External"/><Relationship Id="rId13" Type="http://schemas.openxmlformats.org/officeDocument/2006/relationships/hyperlink" Target="consultantplus://offline/ref=A53286986725DDE106BDAF5FA83325F482F7A56033B2C6D9C0573AE696EB382C5EA90CAA4D822449DEBCE9BEC76BF2G" TargetMode="External"/><Relationship Id="rId18" Type="http://schemas.openxmlformats.org/officeDocument/2006/relationships/hyperlink" Target="consultantplus://offline/ref=A53286986725DDE106BDAF5FA83325F482F0A76433B3C6D9C0573AE696EB382C5EA90CAA4D822449DEBCE9BEC76BF2G" TargetMode="External"/><Relationship Id="rId26" Type="http://schemas.openxmlformats.org/officeDocument/2006/relationships/hyperlink" Target="consultantplus://offline/ref=A53286986725DDE106BDAF5FA83325F484F4A76533B0C6D9C0573AE696EB382C4CA954A64C8B3A48D8A9BFEF81E475FBBCB374A5F528549961F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3286986725DDE106BDAF5FA83325F482F5A26630B1C6D9C0573AE696EB382C4CA954A64C8B3A48D8A9BFEF81E475FBBCB374A5F528549961F5G" TargetMode="External"/><Relationship Id="rId7" Type="http://schemas.openxmlformats.org/officeDocument/2006/relationships/hyperlink" Target="consultantplus://offline/ref=A53286986725DDE106BDAF5FA83325F482F7AA623CB1C6D9C0573AE696EB382C4CA954A14D8D311D8AE6BEB3C4B866FAB0B376A0E962F9G" TargetMode="External"/><Relationship Id="rId12" Type="http://schemas.openxmlformats.org/officeDocument/2006/relationships/hyperlink" Target="consultantplus://offline/ref=A53286986725DDE106BDAF5FA83325F482F6A66033BDC6D9C0573AE696EB382C5EA90CAA4D822449DEBCE9BEC76BF2G" TargetMode="External"/><Relationship Id="rId17" Type="http://schemas.openxmlformats.org/officeDocument/2006/relationships/hyperlink" Target="consultantplus://offline/ref=A53286986725DDE106BDAF5FA83325F485FCAB6235BCC6D9C0573AE696EB382C5EA90CAA4D822449DEBCE9BEC76BF2G" TargetMode="External"/><Relationship Id="rId25" Type="http://schemas.openxmlformats.org/officeDocument/2006/relationships/hyperlink" Target="consultantplus://offline/ref=A53286986725DDE106BDAF5FA83325F482F5A26630B1C6D9C0573AE696EB382C4CA954A64C8B3A48D8A9BFEF81E475FBBCB374A5F528549961F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3286986725DDE106BDAF5FA83325F482F7AA623CB1C6D9C0573AE696EB382C5EA90CAA4D822449DEBCE9BEC76BF2G" TargetMode="External"/><Relationship Id="rId20" Type="http://schemas.openxmlformats.org/officeDocument/2006/relationships/hyperlink" Target="consultantplus://offline/ref=A53286986725DDE106BDAF5FA83325F482F5A26630B1C6D9C0573AE696EB382C4CA954A64C8B3A48D8A9BFEF81E475FBBCB374A5F528549961F5G" TargetMode="External"/><Relationship Id="rId29" Type="http://schemas.openxmlformats.org/officeDocument/2006/relationships/hyperlink" Target="consultantplus://offline/ref=A53286986725DDE106BDAF5FA83325F487F4A06B35B0C6D9C0573AE696EB382C4CA954A64C8B3A49DDA9BFEF81E475FBBCB374A5F528549961F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286986725DDE106BDAF5FA83325F482F0A5623CB2C6D9C0573AE696EB382C4CA954A64C8A324CDCA9BFEF81E475FBBCB374A5F528549961F5G" TargetMode="External"/><Relationship Id="rId11" Type="http://schemas.openxmlformats.org/officeDocument/2006/relationships/hyperlink" Target="consultantplus://offline/ref=A53286986725DDE106BDAF5FA83325F482F0A5623CB2C6D9C0573AE696EB382C4CA954A64C8A324AD8A9BFEF81E475FBBCB374A5F528549961F5G" TargetMode="External"/><Relationship Id="rId24" Type="http://schemas.openxmlformats.org/officeDocument/2006/relationships/hyperlink" Target="consultantplus://offline/ref=A53286986725DDE106BDAF5FA83325F482F5A26630B1C6D9C0573AE696EB382C4CA954A64C8B3A48D8A9BFEF81E475FBBCB374A5F528549961F5G" TargetMode="External"/><Relationship Id="rId5" Type="http://schemas.openxmlformats.org/officeDocument/2006/relationships/hyperlink" Target="consultantplus://offline/ref=A53286986725DDE106BDB152BE5F7BF885FFFD6E34B6CD869E003CB1C9BB3E790CE952F30FCF3748DBA2EBBEC0BA2CABF1F879A1E234549E0852033363F1G" TargetMode="External"/><Relationship Id="rId15" Type="http://schemas.openxmlformats.org/officeDocument/2006/relationships/hyperlink" Target="consultantplus://offline/ref=A53286986725DDE106BDAF5FA83325F482F0A5623CB2C6D9C0573AE696EB382C5EA90CAA4D822449DEBCE9BEC76BF2G" TargetMode="External"/><Relationship Id="rId23" Type="http://schemas.openxmlformats.org/officeDocument/2006/relationships/hyperlink" Target="consultantplus://offline/ref=A53286986725DDE106BDAF5FA83325F487F5AA6334B3C6D9C0573AE696EB382C4CA954A64C8B3A48D8A9BFEF81E475FBBCB374A5F528549961F5G" TargetMode="External"/><Relationship Id="rId28" Type="http://schemas.openxmlformats.org/officeDocument/2006/relationships/hyperlink" Target="consultantplus://offline/ref=A53286986725DDE106BDAF5FA83325F482F0A5623DB2C6D9C0573AE696EB382C5EA90CAA4D822449DEBCE9BEC76BF2G" TargetMode="External"/><Relationship Id="rId10" Type="http://schemas.openxmlformats.org/officeDocument/2006/relationships/hyperlink" Target="consultantplus://offline/ref=A53286986725DDE106BDB152BE5F7BF885FFFD6E34B6CD869E003CB1C9BB3E790CE952F30FCF3748DBA2EBBEC3BA2CABF1F879A1E234549E0852033363F1G" TargetMode="External"/><Relationship Id="rId19" Type="http://schemas.openxmlformats.org/officeDocument/2006/relationships/hyperlink" Target="consultantplus://offline/ref=A53286986725DDE106BDAF5FA83325F482F5A26630B1C6D9C0573AE696EB382C4CA954A64C8B3A48D8A9BFEF81E475FBBCB374A5F528549961F5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3286986725DDE106BDB152BE5F7BF885FFFD6E34B6CD869E003CB1C9BB3E790CE952F30FCF3748DBA2EBBEC0BA2CABF1F879A1E234549E0852033363F1G" TargetMode="External"/><Relationship Id="rId14" Type="http://schemas.openxmlformats.org/officeDocument/2006/relationships/hyperlink" Target="consultantplus://offline/ref=A53286986725DDE106BDAF5FA83325F482F7AA623CB1C6D9C0573AE696EB382C5EA90CAA4D822449DEBCE9BEC76BF2G" TargetMode="External"/><Relationship Id="rId22" Type="http://schemas.openxmlformats.org/officeDocument/2006/relationships/hyperlink" Target="consultantplus://offline/ref=A53286986725DDE106BDAF5FA83325F482F0A5623CB0C6D9C0573AE696EB382C5EA90CAA4D822449DEBCE9BEC76BF2G" TargetMode="External"/><Relationship Id="rId27" Type="http://schemas.openxmlformats.org/officeDocument/2006/relationships/hyperlink" Target="consultantplus://offline/ref=A53286986725DDE106BDAF5FA83325F484F4AB6231B7C6D9C0573AE696EB382C4CA954A64C8B3A48D2A9BFEF81E475FBBCB374A5F528549961F5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11357</Words>
  <Characters>64738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2023-05-19T06:05:00Z</dcterms:created>
  <dcterms:modified xsi:type="dcterms:W3CDTF">2023-05-19T07:28:00Z</dcterms:modified>
</cp:coreProperties>
</file>